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4580" w14:textId="75BB60C7" w:rsidR="00AC7250" w:rsidRPr="0030503A" w:rsidRDefault="00047B58" w:rsidP="0030503A">
      <w:pPr>
        <w:pStyle w:val="Title"/>
        <w:jc w:val="center"/>
      </w:pPr>
      <w:r>
        <w:t xml:space="preserve">Part 1: </w:t>
      </w:r>
      <w:r w:rsidR="00AC7250" w:rsidRPr="0030503A">
        <w:t>Referencing Practice</w:t>
      </w:r>
    </w:p>
    <w:p w14:paraId="3D3B2AB9" w14:textId="5825D7E4" w:rsidR="00AC7250" w:rsidRPr="00047B58" w:rsidRDefault="00AC7250" w:rsidP="00047B58">
      <w:pPr>
        <w:pStyle w:val="NormalWeb"/>
        <w:numPr>
          <w:ilvl w:val="0"/>
          <w:numId w:val="2"/>
        </w:numPr>
        <w:spacing w:before="120" w:beforeAutospacing="0" w:after="0" w:afterAutospacing="0"/>
        <w:rPr>
          <w:rFonts w:ascii="Arial" w:hAnsi="Arial" w:cs="Arial"/>
          <w:b/>
          <w:color w:val="000000"/>
          <w:sz w:val="26"/>
          <w:szCs w:val="26"/>
        </w:rPr>
      </w:pPr>
      <w:r w:rsidRPr="00047B58">
        <w:rPr>
          <w:rFonts w:ascii="Arial" w:hAnsi="Arial" w:cs="Arial"/>
          <w:b/>
          <w:color w:val="000000"/>
          <w:sz w:val="26"/>
          <w:szCs w:val="26"/>
        </w:rPr>
        <w:t>Use the Anglia Ruskin University website</w:t>
      </w:r>
      <w:r w:rsidR="00047B58" w:rsidRPr="00047B58">
        <w:rPr>
          <w:rFonts w:ascii="Arial" w:hAnsi="Arial" w:cs="Arial"/>
          <w:b/>
          <w:color w:val="000000"/>
          <w:sz w:val="26"/>
          <w:szCs w:val="26"/>
        </w:rPr>
        <w:t xml:space="preserve"> (</w:t>
      </w:r>
      <w:hyperlink r:id="rId8" w:history="1">
        <w:r w:rsidR="00047B58" w:rsidRPr="00047B58">
          <w:rPr>
            <w:rStyle w:val="Hyperlink"/>
            <w:rFonts w:ascii="Arial" w:hAnsi="Arial" w:cs="Arial"/>
            <w:b/>
            <w:sz w:val="26"/>
            <w:szCs w:val="26"/>
          </w:rPr>
          <w:t>https://library.aru.ac.uk/referencing/harvard.htm</w:t>
        </w:r>
      </w:hyperlink>
      <w:r w:rsidR="00047B58" w:rsidRPr="00047B58">
        <w:rPr>
          <w:rFonts w:ascii="Arial" w:hAnsi="Arial" w:cs="Arial"/>
          <w:b/>
          <w:color w:val="000000"/>
          <w:sz w:val="26"/>
          <w:szCs w:val="26"/>
        </w:rPr>
        <w:t>)</w:t>
      </w:r>
      <w:r w:rsidRPr="00047B58">
        <w:rPr>
          <w:rFonts w:ascii="Arial" w:hAnsi="Arial" w:cs="Arial"/>
          <w:b/>
          <w:color w:val="000000"/>
          <w:sz w:val="26"/>
          <w:szCs w:val="26"/>
        </w:rPr>
        <w:t xml:space="preserve"> to write the correct full bibliographic reference underneath each of these sources:</w:t>
      </w:r>
    </w:p>
    <w:p w14:paraId="21E2D25A" w14:textId="77777777" w:rsidR="00AC7250" w:rsidRPr="0030503A" w:rsidRDefault="00AC7250" w:rsidP="00AC7250">
      <w:pPr>
        <w:pStyle w:val="NormalWeb"/>
        <w:spacing w:before="120" w:beforeAutospacing="0" w:after="0" w:afterAutospacing="0"/>
        <w:ind w:left="357"/>
        <w:rPr>
          <w:rFonts w:ascii="Arial" w:hAnsi="Arial" w:cs="Arial"/>
          <w:b/>
          <w:color w:val="000000"/>
        </w:rPr>
      </w:pPr>
    </w:p>
    <w:p w14:paraId="15AC83B1" w14:textId="77777777" w:rsidR="00AC7250" w:rsidRPr="00047B58" w:rsidRDefault="00AC7250" w:rsidP="00AC7250">
      <w:pPr>
        <w:pStyle w:val="NormalWeb"/>
        <w:numPr>
          <w:ilvl w:val="0"/>
          <w:numId w:val="3"/>
        </w:numPr>
        <w:spacing w:before="120" w:beforeAutospacing="0" w:after="1320" w:afterAutospacing="0"/>
        <w:ind w:left="357" w:hanging="357"/>
        <w:rPr>
          <w:rFonts w:ascii="Arial" w:hAnsi="Arial" w:cs="Arial"/>
          <w:color w:val="000000"/>
          <w:sz w:val="20"/>
          <w:szCs w:val="20"/>
        </w:rPr>
      </w:pPr>
      <w:r w:rsidRPr="00047B58">
        <w:rPr>
          <w:rFonts w:ascii="Arial" w:hAnsi="Arial" w:cs="Arial"/>
          <w:color w:val="000000"/>
          <w:sz w:val="20"/>
          <w:szCs w:val="20"/>
        </w:rPr>
        <w:t xml:space="preserve">A book with the title: 'Occupational health and safety', published in Sydney in 2004 by McGraw-Hill, with authors M. Stewart and F. </w:t>
      </w:r>
      <w:proofErr w:type="spellStart"/>
      <w:r w:rsidRPr="00047B58">
        <w:rPr>
          <w:rFonts w:ascii="Arial" w:hAnsi="Arial" w:cs="Arial"/>
          <w:color w:val="000000"/>
          <w:sz w:val="20"/>
          <w:szCs w:val="20"/>
        </w:rPr>
        <w:t>Heyes</w:t>
      </w:r>
      <w:proofErr w:type="spellEnd"/>
      <w:r w:rsidRPr="00047B58">
        <w:rPr>
          <w:rFonts w:ascii="Arial" w:hAnsi="Arial" w:cs="Arial"/>
          <w:color w:val="000000"/>
          <w:sz w:val="20"/>
          <w:szCs w:val="20"/>
        </w:rPr>
        <w:t xml:space="preserve">. This is the second edition. </w:t>
      </w:r>
    </w:p>
    <w:p w14:paraId="1644CB3C" w14:textId="77777777" w:rsidR="00AC7250" w:rsidRPr="00047B58" w:rsidRDefault="00AC7250" w:rsidP="00AC7250">
      <w:pPr>
        <w:pStyle w:val="NormalWeb"/>
        <w:numPr>
          <w:ilvl w:val="0"/>
          <w:numId w:val="3"/>
        </w:numPr>
        <w:spacing w:before="120" w:beforeAutospacing="0" w:after="1320" w:afterAutospacing="0"/>
        <w:ind w:left="357" w:hanging="357"/>
        <w:rPr>
          <w:rFonts w:ascii="Arial" w:hAnsi="Arial" w:cs="Arial"/>
          <w:color w:val="000000"/>
          <w:sz w:val="20"/>
          <w:szCs w:val="20"/>
        </w:rPr>
      </w:pPr>
      <w:r w:rsidRPr="00047B58">
        <w:rPr>
          <w:rFonts w:ascii="Arial" w:hAnsi="Arial" w:cs="Arial"/>
          <w:color w:val="000000"/>
          <w:sz w:val="20"/>
          <w:szCs w:val="20"/>
        </w:rPr>
        <w:t xml:space="preserve">A book with the title: 'Internal control and corporate governance', with authors K. Adams, R. Grose, D. Leeson and H. Hamilton, published in Frenchs Forest, NSW by Pearson Education Australia in 2003. </w:t>
      </w:r>
    </w:p>
    <w:p w14:paraId="68357D88" w14:textId="77777777" w:rsidR="00AC7250" w:rsidRPr="00047B58" w:rsidRDefault="00AC7250" w:rsidP="00AC7250">
      <w:pPr>
        <w:pStyle w:val="NormalWeb"/>
        <w:numPr>
          <w:ilvl w:val="0"/>
          <w:numId w:val="3"/>
        </w:numPr>
        <w:spacing w:before="120" w:beforeAutospacing="0" w:after="1320" w:afterAutospacing="0"/>
        <w:ind w:left="357" w:hanging="357"/>
        <w:rPr>
          <w:rFonts w:ascii="Arial" w:hAnsi="Arial" w:cs="Arial"/>
          <w:color w:val="000000"/>
          <w:sz w:val="20"/>
          <w:szCs w:val="20"/>
        </w:rPr>
      </w:pPr>
      <w:r w:rsidRPr="00047B58">
        <w:rPr>
          <w:rFonts w:ascii="Arial" w:hAnsi="Arial" w:cs="Arial"/>
          <w:color w:val="000000"/>
          <w:sz w:val="20"/>
          <w:szCs w:val="20"/>
        </w:rPr>
        <w:t xml:space="preserve">An article by M. </w:t>
      </w:r>
      <w:proofErr w:type="spellStart"/>
      <w:r w:rsidRPr="00047B58">
        <w:rPr>
          <w:rFonts w:ascii="Arial" w:hAnsi="Arial" w:cs="Arial"/>
          <w:color w:val="000000"/>
          <w:sz w:val="20"/>
          <w:szCs w:val="20"/>
        </w:rPr>
        <w:t>Scardamalia</w:t>
      </w:r>
      <w:proofErr w:type="spellEnd"/>
      <w:r w:rsidRPr="00047B58">
        <w:rPr>
          <w:rFonts w:ascii="Arial" w:hAnsi="Arial" w:cs="Arial"/>
          <w:color w:val="000000"/>
          <w:sz w:val="20"/>
          <w:szCs w:val="20"/>
        </w:rPr>
        <w:t xml:space="preserve"> and C. Bereiter, called 'Schools as knowledge-building organizations', published in 1999 in a book edited by D. Keating and C. Hertzman, called 'Today's children, tomorrow's society' in New York by Guilford as pages 274 to 289. </w:t>
      </w:r>
    </w:p>
    <w:p w14:paraId="671DC835" w14:textId="77777777" w:rsidR="00AC7250" w:rsidRPr="00047B58" w:rsidRDefault="00AC7250" w:rsidP="00AC7250">
      <w:pPr>
        <w:pStyle w:val="NormalWeb"/>
        <w:numPr>
          <w:ilvl w:val="0"/>
          <w:numId w:val="3"/>
        </w:numPr>
        <w:spacing w:before="120" w:beforeAutospacing="0" w:after="1320" w:afterAutospacing="0"/>
        <w:ind w:left="357" w:hanging="357"/>
        <w:rPr>
          <w:rFonts w:ascii="Arial" w:hAnsi="Arial" w:cs="Arial"/>
          <w:color w:val="000000"/>
          <w:sz w:val="20"/>
          <w:szCs w:val="20"/>
        </w:rPr>
      </w:pPr>
      <w:r w:rsidRPr="00047B58">
        <w:rPr>
          <w:rFonts w:ascii="Arial" w:hAnsi="Arial" w:cs="Arial"/>
          <w:color w:val="000000"/>
          <w:sz w:val="20"/>
          <w:szCs w:val="20"/>
        </w:rPr>
        <w:t xml:space="preserve">An article by J. R. </w:t>
      </w:r>
      <w:proofErr w:type="spellStart"/>
      <w:r w:rsidRPr="00047B58">
        <w:rPr>
          <w:rFonts w:ascii="Arial" w:hAnsi="Arial" w:cs="Arial"/>
          <w:color w:val="000000"/>
          <w:sz w:val="20"/>
          <w:szCs w:val="20"/>
        </w:rPr>
        <w:t>Savery</w:t>
      </w:r>
      <w:proofErr w:type="spellEnd"/>
      <w:r w:rsidRPr="00047B58">
        <w:rPr>
          <w:rFonts w:ascii="Arial" w:hAnsi="Arial" w:cs="Arial"/>
          <w:color w:val="000000"/>
          <w:sz w:val="20"/>
          <w:szCs w:val="20"/>
        </w:rPr>
        <w:t xml:space="preserve"> and T. M. Duffy, called 'Problem based learning: an instructional model and its constructivist framework', published on pages 31 to 38</w:t>
      </w:r>
      <w:r w:rsidRPr="00047B58">
        <w:rPr>
          <w:rStyle w:val="Emphasis"/>
          <w:rFonts w:ascii="Arial" w:hAnsi="Arial" w:cs="Arial"/>
          <w:color w:val="000000"/>
          <w:sz w:val="20"/>
          <w:szCs w:val="20"/>
        </w:rPr>
        <w:t xml:space="preserve"> </w:t>
      </w:r>
      <w:r w:rsidRPr="00047B58">
        <w:rPr>
          <w:rFonts w:ascii="Arial" w:hAnsi="Arial" w:cs="Arial"/>
          <w:color w:val="000000"/>
          <w:sz w:val="20"/>
          <w:szCs w:val="20"/>
        </w:rPr>
        <w:t xml:space="preserve">in the journal 'Educational Technology', volume 35, number 5, in 1995. </w:t>
      </w:r>
    </w:p>
    <w:p w14:paraId="7C96987B" w14:textId="307C9A85" w:rsidR="00AC7250" w:rsidRDefault="00AC7250" w:rsidP="00AC7250">
      <w:pPr>
        <w:pStyle w:val="NormalWeb"/>
        <w:numPr>
          <w:ilvl w:val="0"/>
          <w:numId w:val="3"/>
        </w:numPr>
        <w:spacing w:before="120" w:beforeAutospacing="0" w:after="1320" w:afterAutospacing="0"/>
        <w:ind w:left="357" w:hanging="357"/>
        <w:rPr>
          <w:rFonts w:ascii="Arial" w:hAnsi="Arial" w:cs="Arial"/>
          <w:color w:val="000000"/>
          <w:sz w:val="20"/>
          <w:szCs w:val="20"/>
        </w:rPr>
      </w:pPr>
      <w:r w:rsidRPr="00047B58">
        <w:rPr>
          <w:rFonts w:ascii="Arial" w:hAnsi="Arial" w:cs="Arial"/>
          <w:color w:val="000000"/>
          <w:sz w:val="20"/>
          <w:szCs w:val="20"/>
        </w:rPr>
        <w:t xml:space="preserve">An article called 'Integration and thematic teaching: integration to improve teaching and learning' by S. Lipson, S. Valencia, K. </w:t>
      </w:r>
      <w:proofErr w:type="spellStart"/>
      <w:r w:rsidRPr="00047B58">
        <w:rPr>
          <w:rFonts w:ascii="Arial" w:hAnsi="Arial" w:cs="Arial"/>
          <w:color w:val="000000"/>
          <w:sz w:val="20"/>
          <w:szCs w:val="20"/>
        </w:rPr>
        <w:t>Wixson</w:t>
      </w:r>
      <w:proofErr w:type="spellEnd"/>
      <w:r w:rsidRPr="00047B58">
        <w:rPr>
          <w:rFonts w:ascii="Arial" w:hAnsi="Arial" w:cs="Arial"/>
          <w:color w:val="000000"/>
          <w:sz w:val="20"/>
          <w:szCs w:val="20"/>
        </w:rPr>
        <w:t xml:space="preserve"> and C. Peters, published in 1993 in the journal 'Language Arts', volume 70, number 4, pages 252 to 263. </w:t>
      </w:r>
    </w:p>
    <w:p w14:paraId="3740AD45" w14:textId="77777777" w:rsidR="00047B58" w:rsidRPr="00047B58" w:rsidRDefault="00047B58" w:rsidP="00047B58">
      <w:pPr>
        <w:pStyle w:val="NormalWeb"/>
        <w:spacing w:before="120" w:beforeAutospacing="0" w:after="1320" w:afterAutospacing="0"/>
        <w:ind w:left="357"/>
        <w:rPr>
          <w:rFonts w:ascii="Arial" w:hAnsi="Arial" w:cs="Arial"/>
          <w:color w:val="000000"/>
          <w:sz w:val="20"/>
          <w:szCs w:val="20"/>
        </w:rPr>
      </w:pPr>
    </w:p>
    <w:p w14:paraId="386490DC" w14:textId="77777777" w:rsidR="00AC7250" w:rsidRPr="00047B58" w:rsidRDefault="00AC7250" w:rsidP="00AC7250">
      <w:pPr>
        <w:pStyle w:val="NormalWeb"/>
        <w:numPr>
          <w:ilvl w:val="0"/>
          <w:numId w:val="2"/>
        </w:numPr>
        <w:spacing w:before="120" w:beforeAutospacing="0" w:after="0" w:afterAutospacing="0"/>
        <w:rPr>
          <w:rFonts w:ascii="Arial" w:hAnsi="Arial" w:cs="Arial"/>
          <w:b/>
          <w:color w:val="000000"/>
          <w:sz w:val="26"/>
          <w:szCs w:val="26"/>
        </w:rPr>
      </w:pPr>
      <w:r w:rsidRPr="00047B58">
        <w:rPr>
          <w:rFonts w:ascii="Arial" w:hAnsi="Arial" w:cs="Arial"/>
          <w:b/>
          <w:color w:val="000000"/>
          <w:sz w:val="26"/>
          <w:szCs w:val="26"/>
        </w:rPr>
        <w:lastRenderedPageBreak/>
        <w:t>Put your new references in the correct order for a bibliography.</w:t>
      </w:r>
    </w:p>
    <w:p w14:paraId="05160A3D" w14:textId="4CD864F4" w:rsidR="00AC7250" w:rsidRDefault="00AC7250" w:rsidP="00AC7250">
      <w:pPr>
        <w:pStyle w:val="NormalWeb"/>
        <w:rPr>
          <w:rFonts w:ascii="Arial" w:hAnsi="Arial" w:cs="Arial"/>
          <w:color w:val="000000"/>
        </w:rPr>
      </w:pPr>
      <w:r w:rsidRPr="0030503A">
        <w:rPr>
          <w:rFonts w:ascii="Arial" w:hAnsi="Arial" w:cs="Arial"/>
          <w:color w:val="000000"/>
        </w:rPr>
        <w:t> </w:t>
      </w:r>
    </w:p>
    <w:p w14:paraId="24A5CEF7" w14:textId="0801A9E8" w:rsidR="00047B58" w:rsidRDefault="00047B58" w:rsidP="00AC7250">
      <w:pPr>
        <w:pStyle w:val="NormalWeb"/>
        <w:rPr>
          <w:rFonts w:ascii="Arial" w:hAnsi="Arial" w:cs="Arial"/>
          <w:color w:val="000000"/>
        </w:rPr>
      </w:pPr>
    </w:p>
    <w:p w14:paraId="42DFEA65" w14:textId="232FF89D" w:rsidR="00047B58" w:rsidRDefault="00047B58" w:rsidP="00AC7250">
      <w:pPr>
        <w:pStyle w:val="NormalWeb"/>
        <w:rPr>
          <w:rFonts w:ascii="Arial" w:hAnsi="Arial" w:cs="Arial"/>
          <w:color w:val="000000"/>
        </w:rPr>
      </w:pPr>
    </w:p>
    <w:p w14:paraId="0261634D" w14:textId="6D2B204A" w:rsidR="00047B58" w:rsidRDefault="00047B58" w:rsidP="00AC7250">
      <w:pPr>
        <w:pStyle w:val="NormalWeb"/>
        <w:rPr>
          <w:rFonts w:ascii="Arial" w:hAnsi="Arial" w:cs="Arial"/>
          <w:color w:val="000000"/>
        </w:rPr>
      </w:pPr>
    </w:p>
    <w:p w14:paraId="2A82B43E" w14:textId="73497494" w:rsidR="00047B58" w:rsidRDefault="00047B58" w:rsidP="00AC7250">
      <w:pPr>
        <w:pStyle w:val="NormalWeb"/>
        <w:rPr>
          <w:rFonts w:ascii="Arial" w:hAnsi="Arial" w:cs="Arial"/>
          <w:color w:val="000000"/>
        </w:rPr>
      </w:pPr>
    </w:p>
    <w:p w14:paraId="640A4B99" w14:textId="7A0313E8" w:rsidR="00047B58" w:rsidRDefault="00047B58" w:rsidP="00AC7250">
      <w:pPr>
        <w:pStyle w:val="NormalWeb"/>
        <w:rPr>
          <w:rFonts w:ascii="Arial" w:hAnsi="Arial" w:cs="Arial"/>
          <w:color w:val="000000"/>
        </w:rPr>
      </w:pPr>
    </w:p>
    <w:p w14:paraId="631F97A0" w14:textId="4E08C824" w:rsidR="00047B58" w:rsidRDefault="00047B58" w:rsidP="00AC7250">
      <w:pPr>
        <w:pStyle w:val="NormalWeb"/>
        <w:rPr>
          <w:rFonts w:ascii="Arial" w:hAnsi="Arial" w:cs="Arial"/>
          <w:color w:val="000000"/>
        </w:rPr>
      </w:pPr>
    </w:p>
    <w:p w14:paraId="41F2DFF3" w14:textId="1D864313" w:rsidR="00047B58" w:rsidRDefault="00047B58" w:rsidP="00AC7250">
      <w:pPr>
        <w:pStyle w:val="NormalWeb"/>
        <w:rPr>
          <w:rFonts w:ascii="Arial" w:hAnsi="Arial" w:cs="Arial"/>
          <w:color w:val="000000"/>
        </w:rPr>
      </w:pPr>
    </w:p>
    <w:p w14:paraId="42C7E28E" w14:textId="094B3356" w:rsidR="00047B58" w:rsidRDefault="00047B58" w:rsidP="00AC7250">
      <w:pPr>
        <w:pStyle w:val="NormalWeb"/>
        <w:rPr>
          <w:rFonts w:ascii="Arial" w:hAnsi="Arial" w:cs="Arial"/>
          <w:color w:val="000000"/>
        </w:rPr>
      </w:pPr>
    </w:p>
    <w:p w14:paraId="24FD243D" w14:textId="1E640244" w:rsidR="00047B58" w:rsidRDefault="00047B58" w:rsidP="00AC7250">
      <w:pPr>
        <w:pStyle w:val="NormalWeb"/>
        <w:rPr>
          <w:rFonts w:ascii="Arial" w:hAnsi="Arial" w:cs="Arial"/>
          <w:color w:val="000000"/>
        </w:rPr>
      </w:pPr>
    </w:p>
    <w:p w14:paraId="7DB7B6D4" w14:textId="0BEDD1D7" w:rsidR="00047B58" w:rsidRDefault="00047B58" w:rsidP="00AC7250">
      <w:pPr>
        <w:pStyle w:val="NormalWeb"/>
        <w:rPr>
          <w:rFonts w:ascii="Arial" w:hAnsi="Arial" w:cs="Arial"/>
          <w:color w:val="000000"/>
        </w:rPr>
      </w:pPr>
    </w:p>
    <w:p w14:paraId="3D97CB18" w14:textId="03573515" w:rsidR="00047B58" w:rsidRDefault="00047B58" w:rsidP="00AC7250">
      <w:pPr>
        <w:pStyle w:val="NormalWeb"/>
        <w:rPr>
          <w:rFonts w:ascii="Arial" w:hAnsi="Arial" w:cs="Arial"/>
          <w:color w:val="000000"/>
        </w:rPr>
      </w:pPr>
    </w:p>
    <w:p w14:paraId="439C268B" w14:textId="587F7A03" w:rsidR="00047B58" w:rsidRDefault="00047B58" w:rsidP="00AC7250">
      <w:pPr>
        <w:pStyle w:val="NormalWeb"/>
        <w:rPr>
          <w:rFonts w:ascii="Arial" w:hAnsi="Arial" w:cs="Arial"/>
          <w:color w:val="000000"/>
        </w:rPr>
      </w:pPr>
    </w:p>
    <w:p w14:paraId="2D78A4ED" w14:textId="085BD7CA" w:rsidR="00047B58" w:rsidRDefault="00047B58" w:rsidP="00AC7250">
      <w:pPr>
        <w:pStyle w:val="NormalWeb"/>
        <w:rPr>
          <w:rFonts w:ascii="Arial" w:hAnsi="Arial" w:cs="Arial"/>
          <w:color w:val="000000"/>
        </w:rPr>
      </w:pPr>
    </w:p>
    <w:p w14:paraId="467222FE" w14:textId="23B55679" w:rsidR="00047B58" w:rsidRDefault="00047B58" w:rsidP="00AC7250">
      <w:pPr>
        <w:pStyle w:val="NormalWeb"/>
        <w:rPr>
          <w:rFonts w:ascii="Arial" w:hAnsi="Arial" w:cs="Arial"/>
          <w:color w:val="000000"/>
        </w:rPr>
      </w:pPr>
    </w:p>
    <w:p w14:paraId="7EC31E85" w14:textId="1E76C7DC" w:rsidR="00047B58" w:rsidRDefault="00047B58" w:rsidP="00AC7250">
      <w:pPr>
        <w:pStyle w:val="NormalWeb"/>
        <w:rPr>
          <w:rFonts w:ascii="Arial" w:hAnsi="Arial" w:cs="Arial"/>
          <w:color w:val="000000"/>
        </w:rPr>
      </w:pPr>
    </w:p>
    <w:p w14:paraId="4DDDF9FE" w14:textId="77777777" w:rsidR="00047B58" w:rsidRDefault="00047B58" w:rsidP="00AC7250">
      <w:pPr>
        <w:pStyle w:val="NormalWeb"/>
        <w:rPr>
          <w:rFonts w:ascii="Arial" w:hAnsi="Arial" w:cs="Arial"/>
          <w:color w:val="000000"/>
        </w:rPr>
      </w:pPr>
    </w:p>
    <w:p w14:paraId="159F1917" w14:textId="13923B82" w:rsidR="00047B58" w:rsidRDefault="00047B58" w:rsidP="00AC7250">
      <w:pPr>
        <w:pStyle w:val="NormalWeb"/>
        <w:rPr>
          <w:rFonts w:ascii="Arial" w:hAnsi="Arial" w:cs="Arial"/>
          <w:color w:val="000000"/>
        </w:rPr>
      </w:pPr>
    </w:p>
    <w:p w14:paraId="6C01ADE2" w14:textId="1778B822" w:rsidR="00047B58" w:rsidRDefault="00047B58" w:rsidP="00AC7250">
      <w:pPr>
        <w:pStyle w:val="NormalWeb"/>
        <w:rPr>
          <w:rFonts w:ascii="Arial" w:hAnsi="Arial" w:cs="Arial"/>
          <w:color w:val="000000"/>
        </w:rPr>
      </w:pPr>
    </w:p>
    <w:p w14:paraId="0D3C9BBD" w14:textId="692F5BA7" w:rsidR="00047B58" w:rsidRDefault="00047B58" w:rsidP="00AC7250">
      <w:pPr>
        <w:pStyle w:val="NormalWeb"/>
        <w:rPr>
          <w:rFonts w:ascii="Arial" w:hAnsi="Arial" w:cs="Arial"/>
          <w:color w:val="000000"/>
        </w:rPr>
      </w:pPr>
    </w:p>
    <w:p w14:paraId="58DC0622" w14:textId="0BE438D8" w:rsidR="00047B58" w:rsidRDefault="00047B58" w:rsidP="00AC7250">
      <w:pPr>
        <w:pStyle w:val="NormalWeb"/>
        <w:rPr>
          <w:rFonts w:ascii="Arial" w:hAnsi="Arial" w:cs="Arial"/>
          <w:color w:val="000000"/>
        </w:rPr>
      </w:pPr>
    </w:p>
    <w:p w14:paraId="4D657EED" w14:textId="49C31660" w:rsidR="00047B58" w:rsidRDefault="00047B58" w:rsidP="00AC7250">
      <w:pPr>
        <w:pStyle w:val="NormalWeb"/>
        <w:rPr>
          <w:rFonts w:ascii="Arial" w:hAnsi="Arial" w:cs="Arial"/>
          <w:color w:val="000000"/>
        </w:rPr>
      </w:pPr>
    </w:p>
    <w:p w14:paraId="5C3E3744" w14:textId="59DB161A" w:rsidR="00047B58" w:rsidRDefault="00047B58" w:rsidP="00AC7250">
      <w:pPr>
        <w:pStyle w:val="NormalWeb"/>
        <w:rPr>
          <w:rFonts w:ascii="Arial" w:hAnsi="Arial" w:cs="Arial"/>
          <w:color w:val="000000"/>
        </w:rPr>
      </w:pPr>
    </w:p>
    <w:p w14:paraId="44EBBA96" w14:textId="2261EFD9" w:rsidR="00047B58" w:rsidRDefault="00047B58" w:rsidP="00AC7250">
      <w:pPr>
        <w:pStyle w:val="NormalWeb"/>
        <w:rPr>
          <w:rFonts w:ascii="Arial" w:hAnsi="Arial" w:cs="Arial"/>
          <w:color w:val="000000"/>
        </w:rPr>
      </w:pPr>
    </w:p>
    <w:p w14:paraId="223B2C21" w14:textId="5318AEBA" w:rsidR="00047B58" w:rsidRDefault="00047B58" w:rsidP="00AC7250">
      <w:pPr>
        <w:pStyle w:val="NormalWeb"/>
        <w:rPr>
          <w:rFonts w:ascii="Arial" w:hAnsi="Arial" w:cs="Arial"/>
          <w:color w:val="000000"/>
        </w:rPr>
      </w:pPr>
    </w:p>
    <w:p w14:paraId="3993701F" w14:textId="77777777" w:rsidR="00AC7250" w:rsidRPr="0030503A" w:rsidRDefault="00AC7250" w:rsidP="00AC7250">
      <w:pPr>
        <w:pStyle w:val="NormalWeb"/>
        <w:rPr>
          <w:rFonts w:ascii="Arial" w:hAnsi="Arial" w:cs="Arial"/>
          <w:b/>
          <w:color w:val="000000"/>
        </w:rPr>
      </w:pPr>
    </w:p>
    <w:p w14:paraId="6841244F" w14:textId="77777777" w:rsidR="00AC7250" w:rsidRPr="00047B58" w:rsidRDefault="00AC7250" w:rsidP="00AC7250">
      <w:pPr>
        <w:pStyle w:val="NormalWeb"/>
        <w:numPr>
          <w:ilvl w:val="0"/>
          <w:numId w:val="2"/>
        </w:numPr>
        <w:ind w:left="426" w:hanging="426"/>
        <w:rPr>
          <w:rFonts w:ascii="Arial" w:hAnsi="Arial" w:cs="Arial"/>
          <w:color w:val="000000"/>
          <w:sz w:val="26"/>
          <w:szCs w:val="26"/>
        </w:rPr>
      </w:pPr>
      <w:r w:rsidRPr="00047B58">
        <w:rPr>
          <w:rStyle w:val="Strong"/>
          <w:rFonts w:ascii="Arial" w:hAnsi="Arial" w:cs="Arial"/>
          <w:color w:val="000000"/>
          <w:sz w:val="26"/>
          <w:szCs w:val="26"/>
        </w:rPr>
        <w:lastRenderedPageBreak/>
        <w:t>Spot the referencing errors in this extract from an essay dealing with the role of museums in a digital world:</w:t>
      </w:r>
    </w:p>
    <w:p w14:paraId="261ADCBE" w14:textId="4063C553" w:rsidR="00AC7250" w:rsidRPr="00047B58" w:rsidRDefault="00AC7250" w:rsidP="00AC7250">
      <w:pPr>
        <w:pStyle w:val="NormalWeb"/>
        <w:spacing w:line="360" w:lineRule="auto"/>
        <w:rPr>
          <w:rFonts w:ascii="Arial" w:hAnsi="Arial" w:cs="Arial"/>
          <w:color w:val="000000"/>
          <w:sz w:val="20"/>
          <w:szCs w:val="20"/>
        </w:rPr>
      </w:pPr>
      <w:r w:rsidRPr="00047B58">
        <w:rPr>
          <w:rFonts w:ascii="Arial" w:hAnsi="Arial" w:cs="Arial"/>
          <w:color w:val="000000"/>
          <w:sz w:val="20"/>
          <w:szCs w:val="20"/>
        </w:rPr>
        <w:t xml:space="preserve">Since the dawn of civilisation, the impulse to collect things to keep and display has been part of human nature. </w:t>
      </w:r>
      <w:proofErr w:type="gramStart"/>
      <w:r w:rsidRPr="00047B58">
        <w:rPr>
          <w:rFonts w:ascii="Arial" w:hAnsi="Arial" w:cs="Arial"/>
          <w:color w:val="000000"/>
          <w:sz w:val="20"/>
          <w:szCs w:val="20"/>
        </w:rPr>
        <w:t>So</w:t>
      </w:r>
      <w:proofErr w:type="gramEnd"/>
      <w:r w:rsidRPr="00047B58">
        <w:rPr>
          <w:rFonts w:ascii="Arial" w:hAnsi="Arial" w:cs="Arial"/>
          <w:color w:val="000000"/>
          <w:sz w:val="20"/>
          <w:szCs w:val="20"/>
        </w:rPr>
        <w:t xml:space="preserve"> the concept of the museum evolved.</w:t>
      </w:r>
    </w:p>
    <w:p w14:paraId="6F932A08" w14:textId="77777777" w:rsidR="00AC7250" w:rsidRPr="00047B58" w:rsidRDefault="00AC7250" w:rsidP="00AC7250">
      <w:pPr>
        <w:pStyle w:val="NormalWeb"/>
        <w:spacing w:line="360" w:lineRule="auto"/>
        <w:rPr>
          <w:rFonts w:ascii="Arial" w:hAnsi="Arial" w:cs="Arial"/>
          <w:color w:val="000000"/>
          <w:sz w:val="20"/>
          <w:szCs w:val="20"/>
        </w:rPr>
      </w:pPr>
      <w:proofErr w:type="spellStart"/>
      <w:r w:rsidRPr="00047B58">
        <w:rPr>
          <w:rFonts w:ascii="Arial" w:hAnsi="Arial" w:cs="Arial"/>
          <w:color w:val="000000"/>
          <w:sz w:val="20"/>
          <w:szCs w:val="20"/>
        </w:rPr>
        <w:t>Drurie</w:t>
      </w:r>
      <w:proofErr w:type="spellEnd"/>
      <w:r w:rsidRPr="00047B58">
        <w:rPr>
          <w:rFonts w:ascii="Arial" w:hAnsi="Arial" w:cs="Arial"/>
          <w:color w:val="000000"/>
          <w:sz w:val="20"/>
          <w:szCs w:val="20"/>
        </w:rPr>
        <w:t xml:space="preserve"> (1997, p. 30) remarks that museums have a ‘long history as repositories for things’ – concrete physical objects remaining from the past, which museums have assumed an obligation to collect, conserve, present and interpret for the benefit of the community, present and future. So conscientiously have they embraced this obligation that they have come to </w:t>
      </w:r>
      <w:proofErr w:type="gramStart"/>
      <w:r w:rsidRPr="00047B58">
        <w:rPr>
          <w:rFonts w:ascii="Arial" w:hAnsi="Arial" w:cs="Arial"/>
          <w:color w:val="000000"/>
          <w:sz w:val="20"/>
          <w:szCs w:val="20"/>
        </w:rPr>
        <w:t>be seen as</w:t>
      </w:r>
      <w:proofErr w:type="gramEnd"/>
      <w:r w:rsidRPr="00047B58">
        <w:rPr>
          <w:rFonts w:ascii="Arial" w:hAnsi="Arial" w:cs="Arial"/>
          <w:color w:val="000000"/>
          <w:sz w:val="20"/>
          <w:szCs w:val="20"/>
        </w:rPr>
        <w:t xml:space="preserve"> mausoleums – mere ‘storage spaces housing dusty glass cases filled with artefacts identified by fading, curling labels’ (</w:t>
      </w:r>
      <w:proofErr w:type="spellStart"/>
      <w:r w:rsidRPr="00047B58">
        <w:rPr>
          <w:rFonts w:ascii="Arial" w:hAnsi="Arial" w:cs="Arial"/>
          <w:color w:val="000000"/>
          <w:sz w:val="20"/>
          <w:szCs w:val="20"/>
        </w:rPr>
        <w:t>Mareovic</w:t>
      </w:r>
      <w:proofErr w:type="spellEnd"/>
      <w:r w:rsidRPr="00047B58">
        <w:rPr>
          <w:rFonts w:ascii="Arial" w:hAnsi="Arial" w:cs="Arial"/>
          <w:color w:val="000000"/>
          <w:sz w:val="20"/>
          <w:szCs w:val="20"/>
        </w:rPr>
        <w:t>, p. 71).</w:t>
      </w:r>
    </w:p>
    <w:p w14:paraId="7BC059E8" w14:textId="77777777" w:rsidR="00AC7250" w:rsidRPr="00047B58" w:rsidRDefault="00AC7250" w:rsidP="00AC7250">
      <w:pPr>
        <w:pStyle w:val="NormalWeb"/>
        <w:spacing w:line="360" w:lineRule="auto"/>
        <w:rPr>
          <w:rFonts w:ascii="Arial" w:hAnsi="Arial" w:cs="Arial"/>
          <w:color w:val="000000"/>
          <w:sz w:val="20"/>
          <w:szCs w:val="20"/>
        </w:rPr>
      </w:pPr>
      <w:r w:rsidRPr="00047B58">
        <w:rPr>
          <w:rFonts w:ascii="Arial" w:hAnsi="Arial" w:cs="Arial"/>
          <w:color w:val="000000"/>
          <w:sz w:val="20"/>
          <w:szCs w:val="20"/>
        </w:rPr>
        <w:t>However, we now live in a digital world, a world in which technology has become part of every aspect of life. Computers and the ‘Information Superhighway’ have been seized on by Government and business as the solution to every problem (Lancaster &amp; Reynolds, 1999). They are being used everywhere as a quick technological fix, to ‘</w:t>
      </w:r>
      <w:hyperlink r:id="rId9" w:history="1">
        <w:r w:rsidRPr="00047B58">
          <w:rPr>
            <w:rStyle w:val="Hyperlink"/>
            <w:rFonts w:ascii="Arial" w:hAnsi="Arial" w:cs="Arial"/>
            <w:color w:val="000000"/>
            <w:sz w:val="20"/>
            <w:szCs w:val="20"/>
          </w:rPr>
          <w:t>paper over other problems and create the illusion that solutions are in hand</w:t>
        </w:r>
      </w:hyperlink>
      <w:r w:rsidRPr="00047B58">
        <w:rPr>
          <w:rFonts w:ascii="Arial" w:hAnsi="Arial" w:cs="Arial"/>
          <w:color w:val="000000"/>
          <w:sz w:val="20"/>
          <w:szCs w:val="20"/>
        </w:rPr>
        <w:t>’. In the new virtual world, some feel that traditional museums will become obsolete or will be transformed into archives, as people search for information rather than material, three-dimensional artefacts (Bowen et al, 1998).</w:t>
      </w:r>
    </w:p>
    <w:p w14:paraId="1D4613CB" w14:textId="77777777" w:rsidR="00AC7250" w:rsidRPr="00047B58" w:rsidRDefault="00AC7250" w:rsidP="00AC7250">
      <w:pPr>
        <w:pStyle w:val="NormalWeb"/>
        <w:spacing w:line="360" w:lineRule="auto"/>
        <w:rPr>
          <w:rFonts w:ascii="Arial" w:hAnsi="Arial" w:cs="Arial"/>
          <w:color w:val="000000"/>
          <w:sz w:val="20"/>
          <w:szCs w:val="20"/>
        </w:rPr>
      </w:pPr>
      <w:r w:rsidRPr="00047B58">
        <w:rPr>
          <w:rFonts w:ascii="Arial" w:hAnsi="Arial" w:cs="Arial"/>
          <w:color w:val="000000"/>
          <w:sz w:val="20"/>
          <w:szCs w:val="20"/>
        </w:rPr>
        <w:t xml:space="preserve">This view is by no means universal, however and others believe that the demand for original objects will only increase as web users recognise their value as important aspects of human culture. </w:t>
      </w:r>
    </w:p>
    <w:p w14:paraId="247205A0" w14:textId="77777777" w:rsidR="00AC7250" w:rsidRPr="00047B58" w:rsidRDefault="00AC7250" w:rsidP="00AC7250">
      <w:pPr>
        <w:pStyle w:val="BlockText"/>
        <w:spacing w:line="360" w:lineRule="auto"/>
        <w:rPr>
          <w:rFonts w:ascii="Arial" w:hAnsi="Arial" w:cs="Arial"/>
          <w:color w:val="000000"/>
          <w:sz w:val="20"/>
          <w:szCs w:val="20"/>
        </w:rPr>
      </w:pPr>
      <w:r w:rsidRPr="00047B58">
        <w:rPr>
          <w:rFonts w:ascii="Arial" w:hAnsi="Arial" w:cs="Arial"/>
          <w:color w:val="000000"/>
          <w:sz w:val="20"/>
          <w:szCs w:val="20"/>
        </w:rPr>
        <w:t xml:space="preserve">'Alternatively, technology can help all of us see new relationships between objects, information, the experience of others and our own response to the world' </w:t>
      </w:r>
      <w:hyperlink r:id="rId10" w:history="1">
        <w:proofErr w:type="spellStart"/>
        <w:r w:rsidRPr="00047B58">
          <w:rPr>
            <w:rStyle w:val="Hyperlink"/>
            <w:rFonts w:ascii="Arial" w:hAnsi="Arial" w:cs="Arial"/>
            <w:color w:val="000000"/>
            <w:sz w:val="20"/>
            <w:szCs w:val="20"/>
          </w:rPr>
          <w:t>Teather</w:t>
        </w:r>
        <w:proofErr w:type="spellEnd"/>
        <w:r w:rsidRPr="00047B58">
          <w:rPr>
            <w:rStyle w:val="Hyperlink"/>
            <w:rFonts w:ascii="Arial" w:hAnsi="Arial" w:cs="Arial"/>
            <w:color w:val="000000"/>
            <w:sz w:val="20"/>
            <w:szCs w:val="20"/>
          </w:rPr>
          <w:t>, 1998</w:t>
        </w:r>
      </w:hyperlink>
      <w:r w:rsidRPr="00047B58">
        <w:rPr>
          <w:rFonts w:ascii="Arial" w:hAnsi="Arial" w:cs="Arial"/>
          <w:color w:val="000000"/>
          <w:sz w:val="20"/>
          <w:szCs w:val="20"/>
        </w:rPr>
        <w:t>.</w:t>
      </w:r>
    </w:p>
    <w:p w14:paraId="454E8B6A" w14:textId="77777777" w:rsidR="00AC7250" w:rsidRPr="00047B58" w:rsidRDefault="00AC7250" w:rsidP="00AC7250">
      <w:pPr>
        <w:pStyle w:val="NormalWeb"/>
        <w:spacing w:line="360" w:lineRule="auto"/>
        <w:rPr>
          <w:rFonts w:ascii="Arial" w:hAnsi="Arial" w:cs="Arial"/>
          <w:color w:val="000000"/>
          <w:sz w:val="20"/>
          <w:szCs w:val="20"/>
        </w:rPr>
      </w:pPr>
      <w:r w:rsidRPr="00047B58">
        <w:rPr>
          <w:rFonts w:ascii="Arial" w:hAnsi="Arial" w:cs="Arial"/>
          <w:color w:val="000000"/>
          <w:sz w:val="20"/>
          <w:szCs w:val="20"/>
        </w:rPr>
        <w:t xml:space="preserve">It is the relationship and balance between the idea of a museum as a place for pure object collections and the museum as an information provider, making use of digital technology </w:t>
      </w:r>
      <w:hyperlink r:id="rId11" w:history="1">
        <w:r w:rsidRPr="00047B58">
          <w:rPr>
            <w:rStyle w:val="Hyperlink"/>
            <w:rFonts w:ascii="Arial" w:hAnsi="Arial" w:cs="Arial"/>
            <w:color w:val="000000"/>
            <w:sz w:val="20"/>
            <w:szCs w:val="20"/>
          </w:rPr>
          <w:t>(1997)</w:t>
        </w:r>
      </w:hyperlink>
      <w:r w:rsidRPr="00047B58">
        <w:rPr>
          <w:rFonts w:ascii="Arial" w:hAnsi="Arial" w:cs="Arial"/>
          <w:color w:val="000000"/>
          <w:sz w:val="20"/>
          <w:szCs w:val="20"/>
        </w:rPr>
        <w:t>, which must moderate any discussion of the place of museums in the virtual world.</w:t>
      </w:r>
    </w:p>
    <w:p w14:paraId="59522BB6" w14:textId="7D94FF9E" w:rsidR="00047B58" w:rsidRDefault="00AC7250" w:rsidP="00047B58">
      <w:pPr>
        <w:pStyle w:val="NormalWeb"/>
        <w:spacing w:line="360" w:lineRule="auto"/>
        <w:rPr>
          <w:rFonts w:ascii="Arial" w:hAnsi="Arial" w:cs="Arial"/>
          <w:color w:val="000000"/>
          <w:sz w:val="20"/>
          <w:szCs w:val="20"/>
        </w:rPr>
      </w:pPr>
      <w:r w:rsidRPr="00047B58">
        <w:rPr>
          <w:rFonts w:ascii="Arial" w:hAnsi="Arial" w:cs="Arial"/>
          <w:color w:val="000000"/>
          <w:sz w:val="20"/>
          <w:szCs w:val="20"/>
        </w:rPr>
        <w:t xml:space="preserve">It is the mission of museums to present collections in an entertaining and educational fashion. The digital world can be a useful tool for furthering this mission as long as it is not used </w:t>
      </w:r>
      <w:proofErr w:type="gramStart"/>
      <w:r w:rsidRPr="00047B58">
        <w:rPr>
          <w:rFonts w:ascii="Arial" w:hAnsi="Arial" w:cs="Arial"/>
          <w:color w:val="000000"/>
          <w:sz w:val="20"/>
          <w:szCs w:val="20"/>
        </w:rPr>
        <w:t>indiscriminately</w:t>
      </w:r>
      <w:proofErr w:type="gramEnd"/>
      <w:r w:rsidRPr="00047B58">
        <w:rPr>
          <w:rFonts w:ascii="Arial" w:hAnsi="Arial" w:cs="Arial"/>
          <w:color w:val="000000"/>
          <w:sz w:val="20"/>
          <w:szCs w:val="20"/>
        </w:rPr>
        <w:t xml:space="preserve"> and its users know what they want to achieve, whether they are achieving desired outcomes and at what cost (Lancaster &amp; Reynolds, 2002; Rentschler, 1999). The World Wide Web offers very real cultural opportunities for museums, but also poses threats which must be considered before decisions are made (Silvester, 2001).</w:t>
      </w:r>
    </w:p>
    <w:p w14:paraId="581F4A15" w14:textId="4369E0DE" w:rsidR="00047B58" w:rsidRDefault="00047B58" w:rsidP="00047B58">
      <w:pPr>
        <w:pStyle w:val="NormalWeb"/>
        <w:spacing w:line="360" w:lineRule="auto"/>
        <w:rPr>
          <w:rStyle w:val="Strong"/>
          <w:rFonts w:ascii="Arial" w:hAnsi="Arial" w:cs="Arial"/>
          <w:b w:val="0"/>
          <w:bCs w:val="0"/>
          <w:color w:val="000000"/>
          <w:sz w:val="20"/>
          <w:szCs w:val="20"/>
        </w:rPr>
      </w:pPr>
    </w:p>
    <w:p w14:paraId="4FE48B4D" w14:textId="0DC0DCF8" w:rsidR="00047B58" w:rsidRDefault="00047B58" w:rsidP="00047B58">
      <w:pPr>
        <w:pStyle w:val="NormalWeb"/>
        <w:spacing w:line="360" w:lineRule="auto"/>
        <w:rPr>
          <w:rStyle w:val="Strong"/>
          <w:rFonts w:ascii="Arial" w:hAnsi="Arial" w:cs="Arial"/>
          <w:b w:val="0"/>
          <w:bCs w:val="0"/>
          <w:color w:val="000000"/>
          <w:sz w:val="20"/>
          <w:szCs w:val="20"/>
        </w:rPr>
      </w:pPr>
    </w:p>
    <w:p w14:paraId="3AE9E153" w14:textId="3975EEB7" w:rsidR="00047B58" w:rsidRDefault="00047B58" w:rsidP="00047B58">
      <w:pPr>
        <w:pStyle w:val="NormalWeb"/>
        <w:spacing w:line="360" w:lineRule="auto"/>
        <w:rPr>
          <w:rStyle w:val="Strong"/>
          <w:rFonts w:ascii="Arial" w:hAnsi="Arial" w:cs="Arial"/>
          <w:b w:val="0"/>
          <w:bCs w:val="0"/>
          <w:color w:val="000000"/>
          <w:sz w:val="20"/>
          <w:szCs w:val="20"/>
        </w:rPr>
      </w:pPr>
    </w:p>
    <w:p w14:paraId="7C53B9D8" w14:textId="330D8BBB" w:rsidR="00047B58" w:rsidRDefault="00047B58" w:rsidP="00047B58">
      <w:pPr>
        <w:pStyle w:val="NormalWeb"/>
        <w:spacing w:line="360" w:lineRule="auto"/>
        <w:rPr>
          <w:rStyle w:val="Strong"/>
          <w:rFonts w:ascii="Arial" w:hAnsi="Arial" w:cs="Arial"/>
          <w:b w:val="0"/>
          <w:bCs w:val="0"/>
          <w:color w:val="000000"/>
          <w:sz w:val="20"/>
          <w:szCs w:val="20"/>
        </w:rPr>
      </w:pPr>
    </w:p>
    <w:p w14:paraId="29B64CF1" w14:textId="51B28261" w:rsidR="00047B58" w:rsidRDefault="00047B58" w:rsidP="00047B58">
      <w:pPr>
        <w:pStyle w:val="NormalWeb"/>
        <w:spacing w:line="360" w:lineRule="auto"/>
        <w:rPr>
          <w:rStyle w:val="Strong"/>
          <w:rFonts w:ascii="Arial" w:hAnsi="Arial" w:cs="Arial"/>
          <w:b w:val="0"/>
          <w:bCs w:val="0"/>
          <w:color w:val="000000"/>
          <w:sz w:val="20"/>
          <w:szCs w:val="20"/>
        </w:rPr>
      </w:pPr>
    </w:p>
    <w:p w14:paraId="4840B25B" w14:textId="77777777" w:rsidR="00047B58" w:rsidRPr="00047B58" w:rsidRDefault="00047B58" w:rsidP="00047B58">
      <w:pPr>
        <w:pStyle w:val="NormalWeb"/>
        <w:spacing w:line="360" w:lineRule="auto"/>
        <w:rPr>
          <w:rStyle w:val="Strong"/>
          <w:rFonts w:ascii="Arial" w:hAnsi="Arial" w:cs="Arial"/>
          <w:b w:val="0"/>
          <w:bCs w:val="0"/>
          <w:color w:val="000000"/>
          <w:sz w:val="20"/>
          <w:szCs w:val="20"/>
        </w:rPr>
      </w:pPr>
    </w:p>
    <w:p w14:paraId="53DC6117" w14:textId="57CC7285" w:rsidR="00AC7250" w:rsidRPr="00047B58" w:rsidRDefault="00AC7250" w:rsidP="00AC7250">
      <w:pPr>
        <w:pStyle w:val="NormalWeb"/>
        <w:rPr>
          <w:rFonts w:ascii="Arial" w:hAnsi="Arial" w:cs="Arial"/>
          <w:color w:val="000000"/>
          <w:sz w:val="26"/>
          <w:szCs w:val="26"/>
        </w:rPr>
      </w:pPr>
      <w:r w:rsidRPr="00047B58">
        <w:rPr>
          <w:rStyle w:val="Strong"/>
          <w:rFonts w:ascii="Arial" w:hAnsi="Arial" w:cs="Arial"/>
          <w:color w:val="000000"/>
          <w:sz w:val="26"/>
          <w:szCs w:val="26"/>
        </w:rPr>
        <w:lastRenderedPageBreak/>
        <w:t>References</w:t>
      </w:r>
    </w:p>
    <w:p w14:paraId="48859748" w14:textId="77777777" w:rsidR="00AC7250" w:rsidRPr="00047B58" w:rsidRDefault="00AC7250" w:rsidP="00AC7250">
      <w:pPr>
        <w:pStyle w:val="NormalWeb"/>
        <w:numPr>
          <w:ilvl w:val="0"/>
          <w:numId w:val="7"/>
        </w:numPr>
        <w:spacing w:after="200" w:afterAutospacing="0"/>
        <w:ind w:left="357" w:hanging="357"/>
        <w:rPr>
          <w:rFonts w:ascii="Arial" w:hAnsi="Arial" w:cs="Arial"/>
          <w:color w:val="000000"/>
          <w:sz w:val="20"/>
        </w:rPr>
      </w:pPr>
      <w:r w:rsidRPr="00047B58">
        <w:rPr>
          <w:rFonts w:ascii="Arial" w:hAnsi="Arial" w:cs="Arial"/>
          <w:color w:val="000000"/>
          <w:sz w:val="20"/>
        </w:rPr>
        <w:t xml:space="preserve">Bowen, J., Bennett, J., </w:t>
      </w:r>
      <w:proofErr w:type="spellStart"/>
      <w:r w:rsidRPr="00047B58">
        <w:rPr>
          <w:rFonts w:ascii="Arial" w:hAnsi="Arial" w:cs="Arial"/>
          <w:color w:val="000000"/>
          <w:sz w:val="20"/>
        </w:rPr>
        <w:t>Coh</w:t>
      </w:r>
      <w:proofErr w:type="spellEnd"/>
      <w:r w:rsidRPr="00047B58">
        <w:rPr>
          <w:rFonts w:ascii="Arial" w:hAnsi="Arial" w:cs="Arial"/>
          <w:color w:val="000000"/>
          <w:sz w:val="20"/>
        </w:rPr>
        <w:t xml:space="preserve">, H. &amp; Johnson, J. (1998). ‘Virtual visits to virtual museums’, </w:t>
      </w:r>
      <w:r w:rsidRPr="00047B58">
        <w:rPr>
          <w:rFonts w:ascii="Arial" w:hAnsi="Arial" w:cs="Arial"/>
          <w:i/>
          <w:iCs/>
          <w:color w:val="000000"/>
          <w:sz w:val="20"/>
        </w:rPr>
        <w:t>Proceedings of Museums and the Web Conference</w:t>
      </w:r>
      <w:r w:rsidRPr="00047B58">
        <w:rPr>
          <w:rFonts w:ascii="Arial" w:hAnsi="Arial" w:cs="Arial"/>
          <w:color w:val="000000"/>
          <w:sz w:val="20"/>
        </w:rPr>
        <w:t xml:space="preserve">, Toronto, Canada, 22-25 April 1998, viewed 12 Mar. 2001, Available from </w:t>
      </w:r>
      <w:proofErr w:type="spellStart"/>
      <w:r w:rsidRPr="00047B58">
        <w:rPr>
          <w:rFonts w:ascii="Arial" w:hAnsi="Arial" w:cs="Arial"/>
          <w:color w:val="000000"/>
          <w:sz w:val="20"/>
        </w:rPr>
        <w:t>InfoTrac</w:t>
      </w:r>
      <w:proofErr w:type="spellEnd"/>
      <w:r w:rsidRPr="00047B58">
        <w:rPr>
          <w:rFonts w:ascii="Arial" w:hAnsi="Arial" w:cs="Arial"/>
          <w:color w:val="000000"/>
          <w:sz w:val="20"/>
        </w:rPr>
        <w:t xml:space="preserve"> OneFile. A17976679. </w:t>
      </w:r>
    </w:p>
    <w:p w14:paraId="48097C86" w14:textId="77777777" w:rsidR="00AC7250" w:rsidRPr="00047B58" w:rsidRDefault="00AC7250" w:rsidP="00AC7250">
      <w:pPr>
        <w:pStyle w:val="NormalWeb"/>
        <w:numPr>
          <w:ilvl w:val="0"/>
          <w:numId w:val="7"/>
        </w:numPr>
        <w:spacing w:after="200" w:afterAutospacing="0"/>
        <w:ind w:left="357" w:hanging="357"/>
        <w:rPr>
          <w:rFonts w:ascii="Arial" w:hAnsi="Arial" w:cs="Arial"/>
          <w:color w:val="000000"/>
          <w:sz w:val="20"/>
        </w:rPr>
      </w:pPr>
      <w:r w:rsidRPr="00047B58">
        <w:rPr>
          <w:rFonts w:ascii="Arial" w:hAnsi="Arial" w:cs="Arial"/>
          <w:color w:val="000000"/>
          <w:sz w:val="20"/>
        </w:rPr>
        <w:t xml:space="preserve">Durie, B. (1997). ‘Places of memory’, </w:t>
      </w:r>
      <w:r w:rsidRPr="00047B58">
        <w:rPr>
          <w:rFonts w:ascii="Arial" w:hAnsi="Arial" w:cs="Arial"/>
          <w:i/>
          <w:iCs/>
          <w:color w:val="000000"/>
          <w:sz w:val="20"/>
        </w:rPr>
        <w:t>New Scientist</w:t>
      </w:r>
      <w:r w:rsidRPr="00047B58">
        <w:rPr>
          <w:rFonts w:ascii="Arial" w:hAnsi="Arial" w:cs="Arial"/>
          <w:color w:val="000000"/>
          <w:sz w:val="20"/>
        </w:rPr>
        <w:t xml:space="preserve">, 20-27 </w:t>
      </w:r>
      <w:hyperlink r:id="rId12" w:history="1">
        <w:r w:rsidRPr="00047B58">
          <w:rPr>
            <w:rStyle w:val="Hyperlink"/>
            <w:rFonts w:ascii="Arial" w:hAnsi="Arial" w:cs="Arial"/>
            <w:color w:val="000000"/>
            <w:sz w:val="20"/>
          </w:rPr>
          <w:t>December.</w:t>
        </w:r>
      </w:hyperlink>
    </w:p>
    <w:p w14:paraId="2EFAF294" w14:textId="77777777" w:rsidR="00AC7250" w:rsidRPr="00047B58" w:rsidRDefault="00AC7250" w:rsidP="00AC7250">
      <w:pPr>
        <w:pStyle w:val="NormalWeb"/>
        <w:numPr>
          <w:ilvl w:val="0"/>
          <w:numId w:val="7"/>
        </w:numPr>
        <w:spacing w:after="200" w:afterAutospacing="0"/>
        <w:ind w:left="357" w:hanging="357"/>
        <w:rPr>
          <w:rFonts w:ascii="Arial" w:hAnsi="Arial" w:cs="Arial"/>
          <w:color w:val="000000"/>
          <w:sz w:val="20"/>
        </w:rPr>
      </w:pPr>
      <w:r w:rsidRPr="00047B58">
        <w:rPr>
          <w:rFonts w:ascii="Arial" w:hAnsi="Arial" w:cs="Arial"/>
          <w:color w:val="000000"/>
          <w:sz w:val="20"/>
        </w:rPr>
        <w:t xml:space="preserve">Lancaster, G. &amp; Reynolds, P. (1999). </w:t>
      </w:r>
      <w:r w:rsidRPr="00047B58">
        <w:rPr>
          <w:rStyle w:val="Emphasis"/>
          <w:rFonts w:ascii="Arial" w:hAnsi="Arial" w:cs="Arial"/>
          <w:color w:val="000000"/>
          <w:sz w:val="20"/>
        </w:rPr>
        <w:t xml:space="preserve">Introduction to marketing: a step-by-step guide to all the tools of </w:t>
      </w:r>
      <w:hyperlink r:id="rId13" w:history="1">
        <w:r w:rsidRPr="00047B58">
          <w:rPr>
            <w:rStyle w:val="Emphasis"/>
            <w:rFonts w:ascii="Arial" w:hAnsi="Arial" w:cs="Arial"/>
            <w:color w:val="000000"/>
            <w:sz w:val="20"/>
          </w:rPr>
          <w:t xml:space="preserve">marketing, </w:t>
        </w:r>
        <w:r w:rsidRPr="00047B58">
          <w:rPr>
            <w:rStyle w:val="Hyperlink"/>
            <w:rFonts w:ascii="Arial" w:hAnsi="Arial" w:cs="Arial"/>
            <w:color w:val="000000"/>
            <w:sz w:val="20"/>
          </w:rPr>
          <w:t>London.</w:t>
        </w:r>
      </w:hyperlink>
    </w:p>
    <w:p w14:paraId="6C38DFB2" w14:textId="77777777" w:rsidR="00AC7250" w:rsidRPr="00047B58" w:rsidRDefault="00AC7250" w:rsidP="00AC7250">
      <w:pPr>
        <w:pStyle w:val="NormalWeb"/>
        <w:numPr>
          <w:ilvl w:val="0"/>
          <w:numId w:val="7"/>
        </w:numPr>
        <w:spacing w:after="200" w:afterAutospacing="0"/>
        <w:ind w:left="357" w:hanging="357"/>
        <w:rPr>
          <w:rFonts w:ascii="Arial" w:hAnsi="Arial" w:cs="Arial"/>
          <w:color w:val="000000"/>
          <w:sz w:val="20"/>
        </w:rPr>
      </w:pPr>
      <w:r w:rsidRPr="00047B58">
        <w:rPr>
          <w:rFonts w:ascii="Arial" w:hAnsi="Arial" w:cs="Arial"/>
          <w:color w:val="000000"/>
          <w:sz w:val="20"/>
        </w:rPr>
        <w:t xml:space="preserve">Lancaster, G. &amp; Reynolds, P. (2002). </w:t>
      </w:r>
      <w:hyperlink r:id="rId14" w:history="1">
        <w:r w:rsidRPr="00047B58">
          <w:rPr>
            <w:rStyle w:val="Hyperlink"/>
            <w:rFonts w:ascii="Arial" w:hAnsi="Arial" w:cs="Arial"/>
            <w:color w:val="000000"/>
            <w:sz w:val="20"/>
          </w:rPr>
          <w:t>Marketing made simple</w:t>
        </w:r>
      </w:hyperlink>
      <w:r w:rsidRPr="00047B58">
        <w:rPr>
          <w:rFonts w:ascii="Arial" w:hAnsi="Arial" w:cs="Arial"/>
          <w:color w:val="000000"/>
          <w:sz w:val="20"/>
        </w:rPr>
        <w:t>, Elsevier Press: Oxford.</w:t>
      </w:r>
    </w:p>
    <w:p w14:paraId="5CEA97E3" w14:textId="77777777" w:rsidR="00AC7250" w:rsidRPr="00047B58" w:rsidRDefault="00AC7250" w:rsidP="00AC7250">
      <w:pPr>
        <w:pStyle w:val="NormalWeb"/>
        <w:numPr>
          <w:ilvl w:val="0"/>
          <w:numId w:val="7"/>
        </w:numPr>
        <w:spacing w:after="200" w:afterAutospacing="0"/>
        <w:ind w:left="357" w:hanging="357"/>
        <w:rPr>
          <w:rFonts w:ascii="Arial" w:hAnsi="Arial" w:cs="Arial"/>
          <w:color w:val="000000"/>
          <w:sz w:val="20"/>
        </w:rPr>
      </w:pPr>
      <w:proofErr w:type="spellStart"/>
      <w:r w:rsidRPr="00047B58">
        <w:rPr>
          <w:rFonts w:ascii="Arial" w:hAnsi="Arial" w:cs="Arial"/>
          <w:color w:val="000000"/>
          <w:sz w:val="20"/>
        </w:rPr>
        <w:t>Mareovic</w:t>
      </w:r>
      <w:proofErr w:type="spellEnd"/>
      <w:r w:rsidRPr="00047B58">
        <w:rPr>
          <w:rFonts w:ascii="Arial" w:hAnsi="Arial" w:cs="Arial"/>
          <w:color w:val="000000"/>
          <w:sz w:val="20"/>
        </w:rPr>
        <w:t xml:space="preserve">, I. (1998). ‘Virtual museums: the challenge of globalisation’ in </w:t>
      </w:r>
      <w:r w:rsidRPr="00047B58">
        <w:rPr>
          <w:rFonts w:ascii="Arial" w:hAnsi="Arial" w:cs="Arial"/>
          <w:i/>
          <w:iCs/>
          <w:color w:val="000000"/>
          <w:sz w:val="20"/>
        </w:rPr>
        <w:t>Museology and globalisation</w:t>
      </w:r>
      <w:r w:rsidRPr="00047B58">
        <w:rPr>
          <w:rFonts w:ascii="Arial" w:hAnsi="Arial" w:cs="Arial"/>
          <w:color w:val="000000"/>
          <w:sz w:val="20"/>
        </w:rPr>
        <w:t xml:space="preserve">, ed. L Young, University of Canberra Press: </w:t>
      </w:r>
      <w:hyperlink r:id="rId15" w:history="1">
        <w:r w:rsidRPr="00047B58">
          <w:rPr>
            <w:rStyle w:val="Hyperlink"/>
            <w:rFonts w:ascii="Arial" w:hAnsi="Arial" w:cs="Arial"/>
            <w:color w:val="000000"/>
            <w:sz w:val="20"/>
          </w:rPr>
          <w:t>Canberra, 66-71</w:t>
        </w:r>
      </w:hyperlink>
      <w:r w:rsidRPr="00047B58">
        <w:rPr>
          <w:rFonts w:ascii="Arial" w:hAnsi="Arial" w:cs="Arial"/>
          <w:color w:val="000000"/>
          <w:sz w:val="20"/>
        </w:rPr>
        <w:t>.</w:t>
      </w:r>
    </w:p>
    <w:p w14:paraId="2ED1D2C8" w14:textId="77777777" w:rsidR="00AC7250" w:rsidRPr="00047B58" w:rsidRDefault="00AC7250" w:rsidP="00AC7250">
      <w:pPr>
        <w:pStyle w:val="NormalWeb"/>
        <w:numPr>
          <w:ilvl w:val="0"/>
          <w:numId w:val="7"/>
        </w:numPr>
        <w:spacing w:after="200" w:afterAutospacing="0"/>
        <w:ind w:left="357" w:hanging="357"/>
        <w:rPr>
          <w:rFonts w:ascii="Arial" w:hAnsi="Arial" w:cs="Arial"/>
          <w:color w:val="000000"/>
          <w:sz w:val="20"/>
        </w:rPr>
      </w:pPr>
      <w:hyperlink r:id="rId16" w:history="1">
        <w:r w:rsidRPr="00047B58">
          <w:rPr>
            <w:rStyle w:val="Hyperlink"/>
            <w:rFonts w:ascii="Arial" w:hAnsi="Arial" w:cs="Arial"/>
            <w:color w:val="000000"/>
            <w:sz w:val="20"/>
          </w:rPr>
          <w:t xml:space="preserve">Rentschler, R. </w:t>
        </w:r>
      </w:hyperlink>
      <w:r w:rsidRPr="00047B58">
        <w:rPr>
          <w:rStyle w:val="Emphasis"/>
          <w:rFonts w:ascii="Arial" w:hAnsi="Arial" w:cs="Arial"/>
          <w:color w:val="000000"/>
          <w:sz w:val="20"/>
        </w:rPr>
        <w:t>Innovative arts marketing</w:t>
      </w:r>
      <w:r w:rsidRPr="00047B58">
        <w:rPr>
          <w:rFonts w:ascii="Arial" w:hAnsi="Arial" w:cs="Arial"/>
          <w:color w:val="000000"/>
          <w:sz w:val="20"/>
        </w:rPr>
        <w:t>, Allen &amp; Unwin: St Leonards, NSW.</w:t>
      </w:r>
    </w:p>
    <w:p w14:paraId="42900B0A" w14:textId="77777777" w:rsidR="00AC7250" w:rsidRPr="00047B58" w:rsidRDefault="00AC7250" w:rsidP="00AC7250">
      <w:pPr>
        <w:pStyle w:val="NormalWeb"/>
        <w:numPr>
          <w:ilvl w:val="0"/>
          <w:numId w:val="7"/>
        </w:numPr>
        <w:spacing w:after="200" w:afterAutospacing="0"/>
        <w:ind w:left="357" w:hanging="357"/>
        <w:rPr>
          <w:rFonts w:ascii="Arial" w:hAnsi="Arial" w:cs="Arial"/>
          <w:color w:val="000000"/>
          <w:sz w:val="20"/>
        </w:rPr>
      </w:pPr>
      <w:r w:rsidRPr="00047B58">
        <w:rPr>
          <w:rFonts w:ascii="Arial" w:hAnsi="Arial" w:cs="Arial"/>
          <w:color w:val="000000"/>
          <w:sz w:val="20"/>
        </w:rPr>
        <w:t xml:space="preserve">Silvester, R. (2001). </w:t>
      </w:r>
      <w:r w:rsidRPr="00047B58">
        <w:rPr>
          <w:rFonts w:ascii="Arial" w:hAnsi="Arial" w:cs="Arial"/>
          <w:i/>
          <w:iCs/>
          <w:color w:val="000000"/>
          <w:sz w:val="20"/>
        </w:rPr>
        <w:t xml:space="preserve">Creating web-accessible databases: case studies for libraries, museums and other </w:t>
      </w:r>
      <w:proofErr w:type="spellStart"/>
      <w:r w:rsidRPr="00047B58">
        <w:rPr>
          <w:rFonts w:ascii="Arial" w:hAnsi="Arial" w:cs="Arial"/>
          <w:i/>
          <w:iCs/>
          <w:color w:val="000000"/>
          <w:sz w:val="20"/>
        </w:rPr>
        <w:t>nonprofits</w:t>
      </w:r>
      <w:proofErr w:type="spellEnd"/>
      <w:r w:rsidRPr="00047B58">
        <w:rPr>
          <w:rFonts w:ascii="Arial" w:hAnsi="Arial" w:cs="Arial"/>
          <w:color w:val="000000"/>
          <w:sz w:val="20"/>
        </w:rPr>
        <w:t>, Information Today, Medford, N.J.</w:t>
      </w:r>
    </w:p>
    <w:p w14:paraId="2B0443F1" w14:textId="77777777" w:rsidR="00AC7250" w:rsidRPr="00047B58" w:rsidRDefault="00AC7250" w:rsidP="00AC7250">
      <w:pPr>
        <w:pStyle w:val="NormalWeb"/>
        <w:numPr>
          <w:ilvl w:val="0"/>
          <w:numId w:val="7"/>
        </w:numPr>
        <w:spacing w:after="200" w:afterAutospacing="0"/>
        <w:ind w:left="357" w:hanging="357"/>
        <w:rPr>
          <w:rFonts w:ascii="Arial" w:hAnsi="Arial" w:cs="Arial"/>
          <w:color w:val="000000"/>
          <w:sz w:val="20"/>
        </w:rPr>
      </w:pPr>
      <w:proofErr w:type="spellStart"/>
      <w:r w:rsidRPr="00047B58">
        <w:rPr>
          <w:rFonts w:ascii="Arial" w:hAnsi="Arial" w:cs="Arial"/>
          <w:color w:val="000000"/>
          <w:sz w:val="20"/>
        </w:rPr>
        <w:t>Teather</w:t>
      </w:r>
      <w:proofErr w:type="spellEnd"/>
      <w:r w:rsidRPr="00047B58">
        <w:rPr>
          <w:rFonts w:ascii="Arial" w:hAnsi="Arial" w:cs="Arial"/>
          <w:color w:val="000000"/>
          <w:sz w:val="20"/>
        </w:rPr>
        <w:t xml:space="preserve">, L. 1998, </w:t>
      </w:r>
      <w:hyperlink r:id="rId17" w:history="1">
        <w:r w:rsidRPr="00047B58">
          <w:rPr>
            <w:rStyle w:val="Hyperlink"/>
            <w:rFonts w:ascii="Arial" w:hAnsi="Arial" w:cs="Arial"/>
            <w:color w:val="000000"/>
            <w:sz w:val="20"/>
          </w:rPr>
          <w:t>A museum is a museum is a museum … or is it? Exploring museology and the web</w:t>
        </w:r>
      </w:hyperlink>
      <w:r w:rsidRPr="00047B58">
        <w:rPr>
          <w:rFonts w:ascii="Arial" w:hAnsi="Arial" w:cs="Arial"/>
          <w:color w:val="000000"/>
          <w:sz w:val="20"/>
        </w:rPr>
        <w:t>, Archives and Museum Informatics, viewed 12 Mar. 2001, &lt;http://www.archimuse.com/nw98/papers/teather/teather_paper.html&gt;.</w:t>
      </w:r>
    </w:p>
    <w:p w14:paraId="5DAF4F10" w14:textId="3E1217CA" w:rsidR="00AC7250" w:rsidRPr="00047B58" w:rsidRDefault="00AC7250" w:rsidP="00047B58">
      <w:pPr>
        <w:pStyle w:val="Title"/>
        <w:jc w:val="center"/>
        <w:rPr>
          <w:rFonts w:ascii="Arial" w:hAnsi="Arial" w:cs="Arial"/>
        </w:rPr>
      </w:pPr>
      <w:r w:rsidRPr="0030503A">
        <w:rPr>
          <w:color w:val="000000"/>
        </w:rPr>
        <w:br w:type="page"/>
      </w:r>
      <w:r w:rsidR="00047B58" w:rsidRPr="00047B58">
        <w:rPr>
          <w:rFonts w:ascii="Arial" w:hAnsi="Arial" w:cs="Arial"/>
        </w:rPr>
        <w:lastRenderedPageBreak/>
        <w:t xml:space="preserve">Part 2: </w:t>
      </w:r>
      <w:r w:rsidRPr="00047B58">
        <w:rPr>
          <w:rFonts w:ascii="Arial" w:hAnsi="Arial" w:cs="Arial"/>
        </w:rPr>
        <w:t>Reporting verbs</w:t>
      </w:r>
    </w:p>
    <w:p w14:paraId="297902D6" w14:textId="77777777" w:rsidR="00AC7250" w:rsidRPr="00047B58" w:rsidRDefault="00AC7250" w:rsidP="00AC7250">
      <w:pPr>
        <w:spacing w:after="0" w:line="240" w:lineRule="auto"/>
        <w:rPr>
          <w:rFonts w:ascii="Arial" w:hAnsi="Arial" w:cs="Arial"/>
        </w:rPr>
      </w:pPr>
    </w:p>
    <w:tbl>
      <w:tblPr>
        <w:tblW w:w="8522" w:type="dxa"/>
        <w:tblLook w:val="01E0" w:firstRow="1" w:lastRow="1" w:firstColumn="1" w:lastColumn="1" w:noHBand="0" w:noVBand="0"/>
      </w:tblPr>
      <w:tblGrid>
        <w:gridCol w:w="4261"/>
        <w:gridCol w:w="4261"/>
      </w:tblGrid>
      <w:tr w:rsidR="00AC7250" w:rsidRPr="00047B58" w14:paraId="3F251CA9" w14:textId="77777777" w:rsidTr="00C4327B">
        <w:tc>
          <w:tcPr>
            <w:tcW w:w="4261" w:type="dxa"/>
          </w:tcPr>
          <w:p w14:paraId="226EA668"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argues (that)</w:t>
            </w:r>
          </w:p>
        </w:tc>
        <w:tc>
          <w:tcPr>
            <w:tcW w:w="4261" w:type="dxa"/>
          </w:tcPr>
          <w:p w14:paraId="09F2B562"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claims (that)</w:t>
            </w:r>
          </w:p>
        </w:tc>
      </w:tr>
      <w:tr w:rsidR="00AC7250" w:rsidRPr="00047B58" w14:paraId="7C0F8BEA" w14:textId="77777777" w:rsidTr="00C4327B">
        <w:tc>
          <w:tcPr>
            <w:tcW w:w="4261" w:type="dxa"/>
          </w:tcPr>
          <w:p w14:paraId="0DC951BE"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concludes (that)</w:t>
            </w:r>
          </w:p>
        </w:tc>
        <w:tc>
          <w:tcPr>
            <w:tcW w:w="4261" w:type="dxa"/>
          </w:tcPr>
          <w:p w14:paraId="7F51B166"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demonstrates (that)</w:t>
            </w:r>
          </w:p>
        </w:tc>
      </w:tr>
      <w:tr w:rsidR="00AC7250" w:rsidRPr="00047B58" w14:paraId="076AC8BF" w14:textId="77777777" w:rsidTr="00C4327B">
        <w:tc>
          <w:tcPr>
            <w:tcW w:w="4261" w:type="dxa"/>
          </w:tcPr>
          <w:p w14:paraId="7B778591"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defines</w:t>
            </w:r>
          </w:p>
        </w:tc>
        <w:tc>
          <w:tcPr>
            <w:tcW w:w="4261" w:type="dxa"/>
          </w:tcPr>
          <w:p w14:paraId="334C0BBB"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discusses</w:t>
            </w:r>
          </w:p>
        </w:tc>
      </w:tr>
      <w:tr w:rsidR="00AC7250" w:rsidRPr="00047B58" w14:paraId="14DC29DB" w14:textId="77777777" w:rsidTr="00C4327B">
        <w:tc>
          <w:tcPr>
            <w:tcW w:w="4261" w:type="dxa"/>
          </w:tcPr>
          <w:p w14:paraId="26A409A0"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describes</w:t>
            </w:r>
          </w:p>
        </w:tc>
        <w:tc>
          <w:tcPr>
            <w:tcW w:w="4261" w:type="dxa"/>
          </w:tcPr>
          <w:p w14:paraId="7E12087A"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establishes (that)</w:t>
            </w:r>
          </w:p>
        </w:tc>
      </w:tr>
      <w:tr w:rsidR="00AC7250" w:rsidRPr="00047B58" w14:paraId="41D9CFF4" w14:textId="77777777" w:rsidTr="00C4327B">
        <w:tc>
          <w:tcPr>
            <w:tcW w:w="4261" w:type="dxa"/>
          </w:tcPr>
          <w:p w14:paraId="5D3E8203"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emphasises</w:t>
            </w:r>
          </w:p>
        </w:tc>
        <w:tc>
          <w:tcPr>
            <w:tcW w:w="4261" w:type="dxa"/>
          </w:tcPr>
          <w:p w14:paraId="420E838F"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focuses on</w:t>
            </w:r>
          </w:p>
        </w:tc>
      </w:tr>
      <w:tr w:rsidR="00AC7250" w:rsidRPr="00047B58" w14:paraId="60F45D65" w14:textId="77777777" w:rsidTr="00C4327B">
        <w:tc>
          <w:tcPr>
            <w:tcW w:w="4261" w:type="dxa"/>
          </w:tcPr>
          <w:p w14:paraId="5C0B96A9"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expresses the view (that)</w:t>
            </w:r>
          </w:p>
        </w:tc>
        <w:tc>
          <w:tcPr>
            <w:tcW w:w="4261" w:type="dxa"/>
          </w:tcPr>
          <w:p w14:paraId="439FB520"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highlights</w:t>
            </w:r>
          </w:p>
        </w:tc>
      </w:tr>
      <w:tr w:rsidR="00AC7250" w:rsidRPr="00047B58" w14:paraId="24034B64" w14:textId="77777777" w:rsidTr="00C4327B">
        <w:tc>
          <w:tcPr>
            <w:tcW w:w="4261" w:type="dxa"/>
          </w:tcPr>
          <w:p w14:paraId="19AFE48E"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finds (that)</w:t>
            </w:r>
          </w:p>
        </w:tc>
        <w:tc>
          <w:tcPr>
            <w:tcW w:w="4261" w:type="dxa"/>
          </w:tcPr>
          <w:p w14:paraId="0BDFCE8A"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shows (that)</w:t>
            </w:r>
          </w:p>
        </w:tc>
      </w:tr>
      <w:tr w:rsidR="00AC7250" w:rsidRPr="00047B58" w14:paraId="19F5E72E" w14:textId="77777777" w:rsidTr="00C4327B">
        <w:tc>
          <w:tcPr>
            <w:tcW w:w="4261" w:type="dxa"/>
          </w:tcPr>
          <w:p w14:paraId="2D700B34"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indicates (that)</w:t>
            </w:r>
          </w:p>
        </w:tc>
        <w:tc>
          <w:tcPr>
            <w:tcW w:w="4261" w:type="dxa"/>
          </w:tcPr>
          <w:p w14:paraId="3E6A957E"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suggests (that)</w:t>
            </w:r>
          </w:p>
        </w:tc>
      </w:tr>
      <w:tr w:rsidR="00AC7250" w:rsidRPr="00047B58" w14:paraId="6EC45F41" w14:textId="77777777" w:rsidTr="00C4327B">
        <w:tc>
          <w:tcPr>
            <w:tcW w:w="4261" w:type="dxa"/>
          </w:tcPr>
          <w:p w14:paraId="09B2927A" w14:textId="77777777" w:rsidR="00AC7250" w:rsidRPr="00047B58" w:rsidRDefault="00AC7250" w:rsidP="00AC7250">
            <w:pPr>
              <w:numPr>
                <w:ilvl w:val="0"/>
                <w:numId w:val="6"/>
              </w:numPr>
              <w:spacing w:after="0" w:line="240" w:lineRule="auto"/>
              <w:rPr>
                <w:rFonts w:ascii="Arial" w:hAnsi="Arial" w:cs="Arial"/>
                <w:sz w:val="20"/>
              </w:rPr>
            </w:pPr>
            <w:r w:rsidRPr="00047B58">
              <w:rPr>
                <w:rFonts w:ascii="Arial" w:hAnsi="Arial" w:cs="Arial"/>
                <w:sz w:val="20"/>
              </w:rPr>
              <w:t>Smith questions (whether)</w:t>
            </w:r>
          </w:p>
        </w:tc>
        <w:tc>
          <w:tcPr>
            <w:tcW w:w="4261" w:type="dxa"/>
          </w:tcPr>
          <w:p w14:paraId="22A9FFBB" w14:textId="77777777" w:rsidR="00AC7250" w:rsidRPr="00047B58" w:rsidRDefault="00AC7250" w:rsidP="00047B58">
            <w:pPr>
              <w:spacing w:after="0" w:line="240" w:lineRule="auto"/>
              <w:ind w:left="720"/>
              <w:rPr>
                <w:rFonts w:ascii="Arial" w:hAnsi="Arial" w:cs="Arial"/>
                <w:sz w:val="20"/>
              </w:rPr>
            </w:pPr>
          </w:p>
        </w:tc>
      </w:tr>
    </w:tbl>
    <w:p w14:paraId="7E8734E6" w14:textId="77777777" w:rsidR="00AC7250" w:rsidRPr="00047B58" w:rsidRDefault="00AC7250" w:rsidP="00AC7250">
      <w:pPr>
        <w:spacing w:after="0" w:line="240" w:lineRule="auto"/>
        <w:rPr>
          <w:rFonts w:ascii="Arial" w:hAnsi="Arial" w:cs="Arial"/>
        </w:rPr>
      </w:pPr>
    </w:p>
    <w:p w14:paraId="2405582A" w14:textId="77777777" w:rsidR="00AC7250" w:rsidRPr="00047B58" w:rsidRDefault="00AC7250" w:rsidP="00AC7250">
      <w:pPr>
        <w:pBdr>
          <w:top w:val="single" w:sz="8" w:space="1" w:color="auto"/>
          <w:left w:val="single" w:sz="8" w:space="4" w:color="auto"/>
          <w:bottom w:val="single" w:sz="8" w:space="1" w:color="auto"/>
          <w:right w:val="single" w:sz="8" w:space="0" w:color="auto"/>
        </w:pBdr>
        <w:spacing w:after="0" w:line="240" w:lineRule="auto"/>
        <w:rPr>
          <w:rFonts w:ascii="Arial" w:hAnsi="Arial" w:cs="Arial"/>
          <w:sz w:val="24"/>
          <w:szCs w:val="26"/>
        </w:rPr>
      </w:pPr>
      <w:r w:rsidRPr="00047B58">
        <w:rPr>
          <w:rFonts w:ascii="Arial" w:hAnsi="Arial" w:cs="Arial"/>
          <w:b/>
          <w:sz w:val="24"/>
          <w:szCs w:val="26"/>
        </w:rPr>
        <w:t>‘The older generation should not be forced out of the family to be cared for in institutions.’</w:t>
      </w:r>
      <w:r w:rsidRPr="00047B58">
        <w:rPr>
          <w:rFonts w:ascii="Arial" w:hAnsi="Arial" w:cs="Arial"/>
          <w:sz w:val="24"/>
          <w:szCs w:val="26"/>
        </w:rPr>
        <w:t xml:space="preserve"> </w:t>
      </w:r>
    </w:p>
    <w:p w14:paraId="7C13F96D" w14:textId="77777777" w:rsidR="00AC7250" w:rsidRPr="00047B58" w:rsidRDefault="00AC7250" w:rsidP="00AC7250">
      <w:pPr>
        <w:pBdr>
          <w:top w:val="single" w:sz="8" w:space="1" w:color="auto"/>
          <w:left w:val="single" w:sz="8" w:space="4" w:color="auto"/>
          <w:bottom w:val="single" w:sz="8" w:space="1" w:color="auto"/>
          <w:right w:val="single" w:sz="8" w:space="0" w:color="auto"/>
        </w:pBdr>
        <w:spacing w:after="0" w:line="240" w:lineRule="auto"/>
        <w:rPr>
          <w:rFonts w:ascii="Arial" w:hAnsi="Arial" w:cs="Arial"/>
          <w:sz w:val="24"/>
          <w:szCs w:val="26"/>
        </w:rPr>
      </w:pPr>
      <w:r w:rsidRPr="00047B58">
        <w:rPr>
          <w:rFonts w:ascii="Arial" w:hAnsi="Arial" w:cs="Arial"/>
          <w:sz w:val="24"/>
          <w:szCs w:val="26"/>
        </w:rPr>
        <w:t>(original source; Sutcliffe, 1997, page 148)</w:t>
      </w:r>
    </w:p>
    <w:p w14:paraId="2554D751" w14:textId="77777777" w:rsidR="00AC7250" w:rsidRPr="00047B58" w:rsidRDefault="00AC7250" w:rsidP="00AC7250">
      <w:pPr>
        <w:spacing w:after="0" w:line="240" w:lineRule="auto"/>
        <w:rPr>
          <w:rFonts w:ascii="Arial" w:hAnsi="Arial" w:cs="Arial"/>
        </w:rPr>
      </w:pPr>
    </w:p>
    <w:p w14:paraId="42D4F6B2" w14:textId="77777777" w:rsidR="00AC7250" w:rsidRPr="00047B58" w:rsidRDefault="00AC7250" w:rsidP="00AC7250">
      <w:pPr>
        <w:spacing w:after="0" w:line="240" w:lineRule="auto"/>
        <w:rPr>
          <w:rFonts w:ascii="Arial" w:hAnsi="Arial" w:cs="Arial"/>
        </w:rPr>
      </w:pPr>
    </w:p>
    <w:p w14:paraId="7F08F44F" w14:textId="77777777" w:rsidR="00AC7250" w:rsidRPr="00047B58" w:rsidRDefault="00AC7250" w:rsidP="00AC7250">
      <w:pPr>
        <w:spacing w:after="0" w:line="240" w:lineRule="auto"/>
        <w:rPr>
          <w:rFonts w:ascii="Arial" w:hAnsi="Arial" w:cs="Arial"/>
          <w:sz w:val="20"/>
          <w:szCs w:val="20"/>
        </w:rPr>
      </w:pPr>
      <w:r w:rsidRPr="00047B58">
        <w:rPr>
          <w:rFonts w:ascii="Arial" w:hAnsi="Arial" w:cs="Arial"/>
          <w:sz w:val="20"/>
          <w:szCs w:val="20"/>
        </w:rPr>
        <w:t>Some different ways of paraphrasing this point and using it in your own writing:</w:t>
      </w:r>
    </w:p>
    <w:p w14:paraId="15917F40" w14:textId="77777777" w:rsidR="00AC7250" w:rsidRPr="00047B58" w:rsidRDefault="00AC7250" w:rsidP="00AC7250">
      <w:pPr>
        <w:spacing w:after="0" w:line="240" w:lineRule="auto"/>
        <w:rPr>
          <w:rFonts w:ascii="Arial" w:hAnsi="Arial" w:cs="Arial"/>
          <w:sz w:val="20"/>
          <w:szCs w:val="20"/>
        </w:rPr>
      </w:pPr>
    </w:p>
    <w:p w14:paraId="09CB7A2B" w14:textId="77777777" w:rsidR="00AC7250" w:rsidRPr="00047B58" w:rsidRDefault="00AC7250" w:rsidP="00AC7250">
      <w:pPr>
        <w:numPr>
          <w:ilvl w:val="0"/>
          <w:numId w:val="4"/>
        </w:numPr>
        <w:spacing w:after="0" w:line="240" w:lineRule="auto"/>
        <w:rPr>
          <w:rFonts w:ascii="Arial" w:hAnsi="Arial" w:cs="Arial"/>
          <w:sz w:val="20"/>
          <w:szCs w:val="20"/>
        </w:rPr>
      </w:pPr>
      <w:r w:rsidRPr="00047B58">
        <w:rPr>
          <w:rFonts w:ascii="Arial" w:hAnsi="Arial" w:cs="Arial"/>
          <w:sz w:val="20"/>
          <w:szCs w:val="20"/>
        </w:rPr>
        <w:t>Sutcliffe (1997:148) argues that elderly people should be cared for by their families.</w:t>
      </w:r>
    </w:p>
    <w:p w14:paraId="5E1A74C6" w14:textId="77777777" w:rsidR="00AC7250" w:rsidRPr="00047B58" w:rsidRDefault="00AC7250" w:rsidP="00AC7250">
      <w:pPr>
        <w:spacing w:after="0" w:line="240" w:lineRule="auto"/>
        <w:rPr>
          <w:rFonts w:ascii="Arial" w:hAnsi="Arial" w:cs="Arial"/>
          <w:sz w:val="20"/>
          <w:szCs w:val="20"/>
        </w:rPr>
      </w:pPr>
    </w:p>
    <w:p w14:paraId="37FEAFC4" w14:textId="77777777" w:rsidR="00AC7250" w:rsidRPr="00047B58" w:rsidRDefault="00AC7250" w:rsidP="00AC7250">
      <w:pPr>
        <w:numPr>
          <w:ilvl w:val="0"/>
          <w:numId w:val="4"/>
        </w:numPr>
        <w:spacing w:after="0" w:line="240" w:lineRule="auto"/>
        <w:rPr>
          <w:rFonts w:ascii="Arial" w:hAnsi="Arial" w:cs="Arial"/>
          <w:sz w:val="20"/>
          <w:szCs w:val="20"/>
        </w:rPr>
      </w:pPr>
      <w:r w:rsidRPr="00047B58">
        <w:rPr>
          <w:rFonts w:ascii="Arial" w:hAnsi="Arial" w:cs="Arial"/>
          <w:sz w:val="20"/>
          <w:szCs w:val="20"/>
        </w:rPr>
        <w:t>Elderly people should be cared for by their families (Sutcliffe, 1997)</w:t>
      </w:r>
    </w:p>
    <w:p w14:paraId="40A9B1E4" w14:textId="77777777" w:rsidR="00AC7250" w:rsidRPr="00047B58" w:rsidRDefault="00AC7250" w:rsidP="00AC7250">
      <w:pPr>
        <w:spacing w:after="0" w:line="240" w:lineRule="auto"/>
        <w:rPr>
          <w:rFonts w:ascii="Arial" w:hAnsi="Arial" w:cs="Arial"/>
          <w:sz w:val="20"/>
          <w:szCs w:val="20"/>
        </w:rPr>
      </w:pPr>
    </w:p>
    <w:p w14:paraId="491A60CD" w14:textId="77777777" w:rsidR="00AC7250" w:rsidRPr="00047B58" w:rsidRDefault="00AC7250" w:rsidP="00AC7250">
      <w:pPr>
        <w:numPr>
          <w:ilvl w:val="0"/>
          <w:numId w:val="4"/>
        </w:numPr>
        <w:spacing w:after="0" w:line="240" w:lineRule="auto"/>
        <w:rPr>
          <w:rFonts w:ascii="Arial" w:hAnsi="Arial" w:cs="Arial"/>
          <w:sz w:val="20"/>
          <w:szCs w:val="20"/>
        </w:rPr>
      </w:pPr>
      <w:r w:rsidRPr="00047B58">
        <w:rPr>
          <w:rFonts w:ascii="Arial" w:hAnsi="Arial" w:cs="Arial"/>
          <w:sz w:val="20"/>
          <w:szCs w:val="20"/>
        </w:rPr>
        <w:t>Sutcliffe (1997:148) highlights the need for elderly people to be cared for by their families.</w:t>
      </w:r>
    </w:p>
    <w:p w14:paraId="140084AC" w14:textId="77777777" w:rsidR="00AC7250" w:rsidRPr="00047B58" w:rsidRDefault="00AC7250" w:rsidP="00AC7250">
      <w:pPr>
        <w:spacing w:after="0" w:line="240" w:lineRule="auto"/>
        <w:rPr>
          <w:rFonts w:ascii="Arial" w:hAnsi="Arial" w:cs="Arial"/>
          <w:sz w:val="20"/>
          <w:szCs w:val="20"/>
        </w:rPr>
      </w:pPr>
    </w:p>
    <w:p w14:paraId="72EE790C" w14:textId="77777777" w:rsidR="00AC7250" w:rsidRPr="00047B58" w:rsidRDefault="00AC7250" w:rsidP="00AC7250">
      <w:pPr>
        <w:numPr>
          <w:ilvl w:val="0"/>
          <w:numId w:val="4"/>
        </w:numPr>
        <w:spacing w:after="0" w:line="240" w:lineRule="auto"/>
        <w:rPr>
          <w:rFonts w:ascii="Arial" w:hAnsi="Arial" w:cs="Arial"/>
          <w:sz w:val="20"/>
          <w:szCs w:val="20"/>
        </w:rPr>
      </w:pPr>
      <w:r w:rsidRPr="00047B58">
        <w:rPr>
          <w:rFonts w:ascii="Arial" w:hAnsi="Arial" w:cs="Arial"/>
          <w:sz w:val="20"/>
          <w:szCs w:val="20"/>
        </w:rPr>
        <w:t>The need for elderly people to be cared for by their families is emphasised by Sutcliffe (1997).</w:t>
      </w:r>
    </w:p>
    <w:p w14:paraId="41A6B4E6" w14:textId="77777777" w:rsidR="00AC7250" w:rsidRPr="00047B58" w:rsidRDefault="00AC7250" w:rsidP="00AC7250">
      <w:pPr>
        <w:spacing w:after="0" w:line="240" w:lineRule="auto"/>
        <w:rPr>
          <w:rFonts w:ascii="Arial" w:hAnsi="Arial" w:cs="Arial"/>
          <w:sz w:val="20"/>
          <w:szCs w:val="20"/>
        </w:rPr>
      </w:pPr>
    </w:p>
    <w:p w14:paraId="3376B8FE" w14:textId="77777777" w:rsidR="00AC7250" w:rsidRPr="00047B58" w:rsidRDefault="00AC7250" w:rsidP="00AC7250">
      <w:pPr>
        <w:numPr>
          <w:ilvl w:val="0"/>
          <w:numId w:val="4"/>
        </w:numPr>
        <w:spacing w:after="0" w:line="240" w:lineRule="auto"/>
        <w:rPr>
          <w:rFonts w:ascii="Arial" w:hAnsi="Arial" w:cs="Arial"/>
          <w:sz w:val="20"/>
          <w:szCs w:val="20"/>
        </w:rPr>
      </w:pPr>
      <w:r w:rsidRPr="00047B58">
        <w:rPr>
          <w:rFonts w:ascii="Arial" w:hAnsi="Arial" w:cs="Arial"/>
          <w:sz w:val="20"/>
          <w:szCs w:val="20"/>
        </w:rPr>
        <w:t>According to Sutcliffe (1997) elderly people should be cared for by their families.</w:t>
      </w:r>
    </w:p>
    <w:p w14:paraId="6CA3AF27" w14:textId="77777777" w:rsidR="00AC7250" w:rsidRPr="00047B58" w:rsidRDefault="00AC7250" w:rsidP="00AC7250">
      <w:pPr>
        <w:spacing w:after="0" w:line="240" w:lineRule="auto"/>
        <w:rPr>
          <w:rFonts w:ascii="Arial" w:hAnsi="Arial" w:cs="Arial"/>
          <w:sz w:val="20"/>
          <w:szCs w:val="20"/>
        </w:rPr>
      </w:pPr>
    </w:p>
    <w:p w14:paraId="5E8364ED" w14:textId="77777777" w:rsidR="00AC7250" w:rsidRPr="00047B58" w:rsidRDefault="00AC7250" w:rsidP="00AC7250">
      <w:pPr>
        <w:spacing w:after="0" w:line="240" w:lineRule="auto"/>
        <w:rPr>
          <w:rFonts w:ascii="Arial" w:hAnsi="Arial" w:cs="Arial"/>
          <w:sz w:val="20"/>
          <w:szCs w:val="20"/>
        </w:rPr>
      </w:pPr>
    </w:p>
    <w:p w14:paraId="71C3B861" w14:textId="77777777" w:rsidR="00AC7250" w:rsidRPr="00047B58" w:rsidRDefault="00AC7250" w:rsidP="00047B58">
      <w:pPr>
        <w:pStyle w:val="Heading3"/>
        <w:numPr>
          <w:ilvl w:val="0"/>
          <w:numId w:val="11"/>
        </w:numPr>
      </w:pPr>
      <w:r w:rsidRPr="00047B58">
        <w:t>Analyse the sentences above:</w:t>
      </w:r>
    </w:p>
    <w:p w14:paraId="7C854ABC" w14:textId="77777777" w:rsidR="00AC7250" w:rsidRPr="00047B58" w:rsidRDefault="00AC7250" w:rsidP="00AC7250">
      <w:pPr>
        <w:spacing w:after="0" w:line="240" w:lineRule="auto"/>
        <w:rPr>
          <w:rFonts w:ascii="Arial" w:hAnsi="Arial" w:cs="Arial"/>
          <w:sz w:val="20"/>
          <w:szCs w:val="20"/>
        </w:rPr>
      </w:pPr>
    </w:p>
    <w:p w14:paraId="209104E9" w14:textId="152A37AF" w:rsidR="00AC7250" w:rsidRDefault="00847FBA" w:rsidP="00047B58">
      <w:pPr>
        <w:numPr>
          <w:ilvl w:val="0"/>
          <w:numId w:val="9"/>
        </w:numPr>
        <w:spacing w:after="0" w:line="240" w:lineRule="auto"/>
        <w:rPr>
          <w:rFonts w:ascii="Arial" w:hAnsi="Arial" w:cs="Arial"/>
          <w:sz w:val="20"/>
          <w:szCs w:val="20"/>
        </w:rPr>
      </w:pPr>
      <w:r>
        <w:rPr>
          <w:rFonts w:ascii="Arial" w:hAnsi="Arial" w:cs="Arial"/>
          <w:sz w:val="20"/>
          <w:szCs w:val="20"/>
        </w:rPr>
        <w:t>Write down</w:t>
      </w:r>
      <w:r w:rsidR="00AC7250" w:rsidRPr="00047B58">
        <w:rPr>
          <w:rFonts w:ascii="Arial" w:hAnsi="Arial" w:cs="Arial"/>
          <w:sz w:val="20"/>
          <w:szCs w:val="20"/>
        </w:rPr>
        <w:t xml:space="preserve"> all the reporting verbs used</w:t>
      </w:r>
      <w:r>
        <w:rPr>
          <w:rFonts w:ascii="Arial" w:hAnsi="Arial" w:cs="Arial"/>
          <w:sz w:val="20"/>
          <w:szCs w:val="20"/>
        </w:rPr>
        <w:t xml:space="preserve"> below</w:t>
      </w:r>
      <w:r w:rsidR="00AC7250" w:rsidRPr="00047B58">
        <w:rPr>
          <w:rFonts w:ascii="Arial" w:hAnsi="Arial" w:cs="Arial"/>
          <w:sz w:val="20"/>
          <w:szCs w:val="20"/>
        </w:rPr>
        <w:t>.</w:t>
      </w:r>
    </w:p>
    <w:p w14:paraId="0FA6F1CB" w14:textId="1296BB96" w:rsidR="00847FBA" w:rsidRDefault="00847FBA" w:rsidP="00847FBA">
      <w:pPr>
        <w:spacing w:after="0" w:line="240" w:lineRule="auto"/>
        <w:rPr>
          <w:rFonts w:ascii="Arial" w:hAnsi="Arial" w:cs="Arial"/>
          <w:sz w:val="20"/>
          <w:szCs w:val="20"/>
        </w:rPr>
      </w:pPr>
    </w:p>
    <w:p w14:paraId="3BA71DDE" w14:textId="1531A637" w:rsidR="00847FBA" w:rsidRDefault="00847FBA" w:rsidP="00847FBA">
      <w:pPr>
        <w:spacing w:after="0" w:line="240" w:lineRule="auto"/>
        <w:rPr>
          <w:rFonts w:ascii="Arial" w:hAnsi="Arial" w:cs="Arial"/>
          <w:sz w:val="20"/>
          <w:szCs w:val="20"/>
        </w:rPr>
      </w:pPr>
    </w:p>
    <w:p w14:paraId="2CC25A48" w14:textId="370E4EE1" w:rsidR="00847FBA" w:rsidRDefault="00847FBA" w:rsidP="00847FBA">
      <w:pPr>
        <w:spacing w:after="0" w:line="240" w:lineRule="auto"/>
        <w:rPr>
          <w:rFonts w:ascii="Arial" w:hAnsi="Arial" w:cs="Arial"/>
          <w:sz w:val="20"/>
          <w:szCs w:val="20"/>
        </w:rPr>
      </w:pPr>
    </w:p>
    <w:p w14:paraId="3AF4D598" w14:textId="5DB30979" w:rsidR="00847FBA" w:rsidRDefault="00847FBA" w:rsidP="00847FBA">
      <w:pPr>
        <w:spacing w:after="0" w:line="240" w:lineRule="auto"/>
        <w:rPr>
          <w:rFonts w:ascii="Arial" w:hAnsi="Arial" w:cs="Arial"/>
          <w:sz w:val="20"/>
          <w:szCs w:val="20"/>
        </w:rPr>
      </w:pPr>
    </w:p>
    <w:p w14:paraId="387F5E52" w14:textId="095230D5" w:rsidR="00847FBA" w:rsidRDefault="00847FBA" w:rsidP="00847FBA">
      <w:pPr>
        <w:spacing w:after="0" w:line="240" w:lineRule="auto"/>
        <w:rPr>
          <w:rFonts w:ascii="Arial" w:hAnsi="Arial" w:cs="Arial"/>
          <w:sz w:val="20"/>
          <w:szCs w:val="20"/>
        </w:rPr>
      </w:pPr>
    </w:p>
    <w:p w14:paraId="312801F8" w14:textId="66E04F79" w:rsidR="00847FBA" w:rsidRDefault="00847FBA" w:rsidP="00847FBA">
      <w:pPr>
        <w:spacing w:after="0" w:line="240" w:lineRule="auto"/>
        <w:rPr>
          <w:rFonts w:ascii="Arial" w:hAnsi="Arial" w:cs="Arial"/>
          <w:sz w:val="20"/>
          <w:szCs w:val="20"/>
        </w:rPr>
      </w:pPr>
    </w:p>
    <w:p w14:paraId="4655C0A1" w14:textId="62CBBB00" w:rsidR="00847FBA" w:rsidRDefault="00847FBA" w:rsidP="00847FBA">
      <w:pPr>
        <w:spacing w:after="0" w:line="240" w:lineRule="auto"/>
        <w:rPr>
          <w:rFonts w:ascii="Arial" w:hAnsi="Arial" w:cs="Arial"/>
          <w:sz w:val="20"/>
          <w:szCs w:val="20"/>
        </w:rPr>
      </w:pPr>
    </w:p>
    <w:p w14:paraId="3CD1D906" w14:textId="77777777" w:rsidR="00847FBA" w:rsidRPr="00047B58" w:rsidRDefault="00847FBA" w:rsidP="00847FBA">
      <w:pPr>
        <w:spacing w:after="0" w:line="240" w:lineRule="auto"/>
        <w:rPr>
          <w:rFonts w:ascii="Arial" w:hAnsi="Arial" w:cs="Arial"/>
          <w:sz w:val="20"/>
          <w:szCs w:val="20"/>
        </w:rPr>
      </w:pPr>
    </w:p>
    <w:p w14:paraId="767626CC" w14:textId="77777777" w:rsidR="00AC7250" w:rsidRPr="00047B58" w:rsidRDefault="00AC7250" w:rsidP="00047B58">
      <w:pPr>
        <w:spacing w:after="0" w:line="240" w:lineRule="auto"/>
        <w:rPr>
          <w:rFonts w:ascii="Arial" w:hAnsi="Arial" w:cs="Arial"/>
          <w:sz w:val="20"/>
          <w:szCs w:val="20"/>
        </w:rPr>
      </w:pPr>
    </w:p>
    <w:p w14:paraId="2DBB5D3E" w14:textId="597F95D7" w:rsidR="00AC7250" w:rsidRDefault="00AC7250" w:rsidP="00047B58">
      <w:pPr>
        <w:numPr>
          <w:ilvl w:val="0"/>
          <w:numId w:val="9"/>
        </w:numPr>
        <w:spacing w:after="0" w:line="240" w:lineRule="auto"/>
        <w:rPr>
          <w:rFonts w:ascii="Arial" w:hAnsi="Arial" w:cs="Arial"/>
          <w:sz w:val="20"/>
          <w:szCs w:val="20"/>
        </w:rPr>
      </w:pPr>
      <w:r w:rsidRPr="00047B58">
        <w:rPr>
          <w:rFonts w:ascii="Arial" w:hAnsi="Arial" w:cs="Arial"/>
          <w:sz w:val="20"/>
          <w:szCs w:val="20"/>
        </w:rPr>
        <w:t>Is it necessary to use a reporting verb? What difference is there to the meaning of the sentence if we use (or don’t use) a reporting verb?</w:t>
      </w:r>
    </w:p>
    <w:p w14:paraId="0EA45112" w14:textId="50C6CB99" w:rsidR="00847FBA" w:rsidRDefault="00847FBA" w:rsidP="00847FBA">
      <w:pPr>
        <w:spacing w:after="0" w:line="240" w:lineRule="auto"/>
        <w:rPr>
          <w:rFonts w:ascii="Arial" w:hAnsi="Arial" w:cs="Arial"/>
          <w:sz w:val="20"/>
          <w:szCs w:val="20"/>
        </w:rPr>
      </w:pPr>
    </w:p>
    <w:p w14:paraId="757D7EED" w14:textId="6A7B3BD6" w:rsidR="00847FBA" w:rsidRDefault="00847FBA" w:rsidP="00847FBA">
      <w:pPr>
        <w:spacing w:after="0" w:line="240" w:lineRule="auto"/>
        <w:rPr>
          <w:rFonts w:ascii="Arial" w:hAnsi="Arial" w:cs="Arial"/>
          <w:sz w:val="20"/>
          <w:szCs w:val="20"/>
        </w:rPr>
      </w:pPr>
    </w:p>
    <w:p w14:paraId="14B376C2" w14:textId="43DFA72D" w:rsidR="00847FBA" w:rsidRDefault="00847FBA" w:rsidP="00847FBA">
      <w:pPr>
        <w:spacing w:after="0" w:line="240" w:lineRule="auto"/>
        <w:rPr>
          <w:rFonts w:ascii="Arial" w:hAnsi="Arial" w:cs="Arial"/>
          <w:sz w:val="20"/>
          <w:szCs w:val="20"/>
        </w:rPr>
      </w:pPr>
    </w:p>
    <w:p w14:paraId="761D33C0" w14:textId="595734C0" w:rsidR="00847FBA" w:rsidRDefault="00847FBA" w:rsidP="00847FBA">
      <w:pPr>
        <w:spacing w:after="0" w:line="240" w:lineRule="auto"/>
        <w:rPr>
          <w:rFonts w:ascii="Arial" w:hAnsi="Arial" w:cs="Arial"/>
          <w:sz w:val="20"/>
          <w:szCs w:val="20"/>
        </w:rPr>
      </w:pPr>
    </w:p>
    <w:p w14:paraId="018F8817" w14:textId="7A6481C4" w:rsidR="00847FBA" w:rsidRDefault="00847FBA" w:rsidP="00847FBA">
      <w:pPr>
        <w:spacing w:after="0" w:line="240" w:lineRule="auto"/>
        <w:rPr>
          <w:rFonts w:ascii="Arial" w:hAnsi="Arial" w:cs="Arial"/>
          <w:sz w:val="20"/>
          <w:szCs w:val="20"/>
        </w:rPr>
      </w:pPr>
    </w:p>
    <w:p w14:paraId="7CD32ADF" w14:textId="4C209D54" w:rsidR="00847FBA" w:rsidRDefault="00847FBA" w:rsidP="00847FBA">
      <w:pPr>
        <w:spacing w:after="0" w:line="240" w:lineRule="auto"/>
        <w:rPr>
          <w:rFonts w:ascii="Arial" w:hAnsi="Arial" w:cs="Arial"/>
          <w:sz w:val="20"/>
          <w:szCs w:val="20"/>
        </w:rPr>
      </w:pPr>
    </w:p>
    <w:p w14:paraId="1A408426" w14:textId="77777777" w:rsidR="00847FBA" w:rsidRPr="00047B58" w:rsidRDefault="00847FBA" w:rsidP="00847FBA">
      <w:pPr>
        <w:spacing w:after="0" w:line="240" w:lineRule="auto"/>
        <w:rPr>
          <w:rFonts w:ascii="Arial" w:hAnsi="Arial" w:cs="Arial"/>
          <w:sz w:val="20"/>
          <w:szCs w:val="20"/>
        </w:rPr>
      </w:pPr>
    </w:p>
    <w:p w14:paraId="07F4D431" w14:textId="77777777" w:rsidR="00AC7250" w:rsidRPr="00047B58" w:rsidRDefault="00AC7250" w:rsidP="00047B58">
      <w:pPr>
        <w:spacing w:after="0" w:line="240" w:lineRule="auto"/>
        <w:rPr>
          <w:rFonts w:ascii="Arial" w:hAnsi="Arial" w:cs="Arial"/>
          <w:sz w:val="20"/>
          <w:szCs w:val="20"/>
        </w:rPr>
      </w:pPr>
    </w:p>
    <w:p w14:paraId="567D05E9" w14:textId="381A571C" w:rsidR="00AC7250" w:rsidRDefault="00AC7250" w:rsidP="00047B58">
      <w:pPr>
        <w:numPr>
          <w:ilvl w:val="0"/>
          <w:numId w:val="9"/>
        </w:numPr>
        <w:spacing w:after="0" w:line="240" w:lineRule="auto"/>
        <w:rPr>
          <w:rFonts w:ascii="Arial" w:hAnsi="Arial" w:cs="Arial"/>
          <w:sz w:val="20"/>
          <w:szCs w:val="20"/>
        </w:rPr>
      </w:pPr>
      <w:r w:rsidRPr="00047B58">
        <w:rPr>
          <w:rFonts w:ascii="Arial" w:hAnsi="Arial" w:cs="Arial"/>
          <w:sz w:val="20"/>
          <w:szCs w:val="20"/>
        </w:rPr>
        <w:t>Is it necessary to put the page reference?</w:t>
      </w:r>
    </w:p>
    <w:p w14:paraId="658C9494" w14:textId="5D2CCF93" w:rsidR="00847FBA" w:rsidRDefault="00847FBA" w:rsidP="00847FBA">
      <w:pPr>
        <w:spacing w:after="0" w:line="240" w:lineRule="auto"/>
        <w:rPr>
          <w:rFonts w:ascii="Arial" w:hAnsi="Arial" w:cs="Arial"/>
          <w:sz w:val="20"/>
          <w:szCs w:val="20"/>
        </w:rPr>
      </w:pPr>
    </w:p>
    <w:p w14:paraId="1B242421" w14:textId="548AC4C7" w:rsidR="00847FBA" w:rsidRDefault="00847FBA" w:rsidP="00847FBA">
      <w:pPr>
        <w:spacing w:after="0" w:line="240" w:lineRule="auto"/>
        <w:rPr>
          <w:rFonts w:ascii="Arial" w:hAnsi="Arial" w:cs="Arial"/>
          <w:sz w:val="20"/>
          <w:szCs w:val="20"/>
        </w:rPr>
      </w:pPr>
    </w:p>
    <w:p w14:paraId="6AABE85F" w14:textId="5FFE7BCC" w:rsidR="00847FBA" w:rsidRDefault="00847FBA" w:rsidP="00847FBA">
      <w:pPr>
        <w:spacing w:after="0" w:line="240" w:lineRule="auto"/>
        <w:rPr>
          <w:rFonts w:ascii="Arial" w:hAnsi="Arial" w:cs="Arial"/>
          <w:sz w:val="20"/>
          <w:szCs w:val="20"/>
        </w:rPr>
      </w:pPr>
    </w:p>
    <w:p w14:paraId="40E0218B" w14:textId="7173A291" w:rsidR="00847FBA" w:rsidRDefault="00847FBA" w:rsidP="00847FBA">
      <w:pPr>
        <w:spacing w:after="0" w:line="240" w:lineRule="auto"/>
        <w:rPr>
          <w:rFonts w:ascii="Arial" w:hAnsi="Arial" w:cs="Arial"/>
          <w:sz w:val="20"/>
          <w:szCs w:val="20"/>
        </w:rPr>
      </w:pPr>
    </w:p>
    <w:p w14:paraId="7C30830B" w14:textId="77777777" w:rsidR="00847FBA" w:rsidRPr="00047B58" w:rsidRDefault="00847FBA" w:rsidP="00847FBA">
      <w:pPr>
        <w:spacing w:after="0" w:line="240" w:lineRule="auto"/>
        <w:rPr>
          <w:rFonts w:ascii="Arial" w:hAnsi="Arial" w:cs="Arial"/>
          <w:sz w:val="20"/>
          <w:szCs w:val="20"/>
        </w:rPr>
      </w:pPr>
    </w:p>
    <w:p w14:paraId="6EB198F1" w14:textId="77777777" w:rsidR="00047B58" w:rsidRDefault="00047B58" w:rsidP="00AC7250">
      <w:pPr>
        <w:spacing w:after="0" w:line="240" w:lineRule="auto"/>
        <w:rPr>
          <w:rFonts w:ascii="Arial" w:hAnsi="Arial" w:cs="Arial"/>
          <w:sz w:val="20"/>
          <w:szCs w:val="20"/>
        </w:rPr>
      </w:pPr>
    </w:p>
    <w:p w14:paraId="02E4424B" w14:textId="2661C3F0" w:rsidR="00AC7250" w:rsidRPr="00047B58" w:rsidRDefault="00AC7250" w:rsidP="00047B58">
      <w:pPr>
        <w:numPr>
          <w:ilvl w:val="0"/>
          <w:numId w:val="11"/>
        </w:numPr>
        <w:spacing w:after="0" w:line="240" w:lineRule="auto"/>
        <w:rPr>
          <w:rFonts w:ascii="Arial" w:hAnsi="Arial" w:cs="Arial"/>
          <w:b/>
          <w:sz w:val="26"/>
          <w:szCs w:val="26"/>
        </w:rPr>
      </w:pPr>
      <w:r w:rsidRPr="00047B58">
        <w:rPr>
          <w:rFonts w:ascii="Arial" w:hAnsi="Arial" w:cs="Arial"/>
          <w:b/>
          <w:sz w:val="26"/>
          <w:szCs w:val="26"/>
        </w:rPr>
        <w:lastRenderedPageBreak/>
        <w:t>Write paraphrases for the above source using these reporting verbs:</w:t>
      </w:r>
    </w:p>
    <w:p w14:paraId="09CFD6A5" w14:textId="77777777" w:rsidR="00AC7250" w:rsidRPr="00047B58" w:rsidRDefault="00AC7250" w:rsidP="00AC7250">
      <w:pPr>
        <w:spacing w:after="0" w:line="240" w:lineRule="auto"/>
        <w:rPr>
          <w:rFonts w:ascii="Arial" w:hAnsi="Arial" w:cs="Arial"/>
          <w:sz w:val="20"/>
          <w:szCs w:val="20"/>
        </w:rPr>
      </w:pPr>
    </w:p>
    <w:p w14:paraId="056A2F8B" w14:textId="4728F254" w:rsidR="00AC7250" w:rsidRDefault="00AC7250" w:rsidP="00047B58">
      <w:pPr>
        <w:numPr>
          <w:ilvl w:val="0"/>
          <w:numId w:val="12"/>
        </w:numPr>
        <w:spacing w:after="0" w:line="240" w:lineRule="auto"/>
        <w:rPr>
          <w:rFonts w:ascii="Arial" w:hAnsi="Arial" w:cs="Arial"/>
          <w:sz w:val="20"/>
          <w:szCs w:val="20"/>
        </w:rPr>
      </w:pPr>
      <w:r w:rsidRPr="00047B58">
        <w:rPr>
          <w:rFonts w:ascii="Arial" w:hAnsi="Arial" w:cs="Arial"/>
          <w:sz w:val="20"/>
          <w:szCs w:val="20"/>
        </w:rPr>
        <w:t>(discuss)</w:t>
      </w:r>
    </w:p>
    <w:p w14:paraId="08E54993" w14:textId="5F4443B3" w:rsidR="00047B58" w:rsidRDefault="00047B58" w:rsidP="00047B58">
      <w:pPr>
        <w:spacing w:after="0" w:line="240" w:lineRule="auto"/>
        <w:rPr>
          <w:rFonts w:ascii="Arial" w:hAnsi="Arial" w:cs="Arial"/>
          <w:sz w:val="20"/>
          <w:szCs w:val="20"/>
        </w:rPr>
      </w:pPr>
    </w:p>
    <w:p w14:paraId="58E605D0" w14:textId="6C202C43" w:rsidR="00047B58" w:rsidRDefault="00047B58" w:rsidP="00047B58">
      <w:pPr>
        <w:spacing w:after="0" w:line="240" w:lineRule="auto"/>
        <w:rPr>
          <w:rFonts w:ascii="Arial" w:hAnsi="Arial" w:cs="Arial"/>
          <w:sz w:val="20"/>
          <w:szCs w:val="20"/>
        </w:rPr>
      </w:pPr>
    </w:p>
    <w:p w14:paraId="294EFC81" w14:textId="5639A592" w:rsidR="00847FBA" w:rsidRDefault="00847FBA" w:rsidP="00047B58">
      <w:pPr>
        <w:spacing w:after="0" w:line="240" w:lineRule="auto"/>
        <w:rPr>
          <w:rFonts w:ascii="Arial" w:hAnsi="Arial" w:cs="Arial"/>
          <w:sz w:val="20"/>
          <w:szCs w:val="20"/>
        </w:rPr>
      </w:pPr>
    </w:p>
    <w:p w14:paraId="7C91C187" w14:textId="77777777" w:rsidR="00847FBA" w:rsidRPr="00047B58" w:rsidRDefault="00847FBA" w:rsidP="00047B58">
      <w:pPr>
        <w:spacing w:after="0" w:line="240" w:lineRule="auto"/>
        <w:rPr>
          <w:rFonts w:ascii="Arial" w:hAnsi="Arial" w:cs="Arial"/>
          <w:sz w:val="20"/>
          <w:szCs w:val="20"/>
        </w:rPr>
      </w:pPr>
    </w:p>
    <w:p w14:paraId="55AEA96C" w14:textId="77777777" w:rsidR="00AC7250" w:rsidRPr="00047B58" w:rsidRDefault="00AC7250" w:rsidP="00AC7250">
      <w:pPr>
        <w:spacing w:after="0" w:line="240" w:lineRule="auto"/>
        <w:rPr>
          <w:rFonts w:ascii="Arial" w:hAnsi="Arial" w:cs="Arial"/>
          <w:sz w:val="20"/>
          <w:szCs w:val="20"/>
        </w:rPr>
      </w:pPr>
    </w:p>
    <w:p w14:paraId="28A67F30" w14:textId="0B79E9F6" w:rsidR="00AC7250" w:rsidRDefault="00AC7250" w:rsidP="00047B58">
      <w:pPr>
        <w:numPr>
          <w:ilvl w:val="0"/>
          <w:numId w:val="12"/>
        </w:numPr>
        <w:spacing w:after="0" w:line="240" w:lineRule="auto"/>
        <w:rPr>
          <w:rFonts w:ascii="Arial" w:hAnsi="Arial" w:cs="Arial"/>
          <w:sz w:val="20"/>
          <w:szCs w:val="20"/>
        </w:rPr>
      </w:pPr>
      <w:r w:rsidRPr="00047B58">
        <w:rPr>
          <w:rFonts w:ascii="Arial" w:hAnsi="Arial" w:cs="Arial"/>
          <w:sz w:val="20"/>
          <w:szCs w:val="20"/>
        </w:rPr>
        <w:t>(claim)</w:t>
      </w:r>
    </w:p>
    <w:p w14:paraId="5F113D56" w14:textId="336AE436" w:rsidR="00047B58" w:rsidRDefault="00047B58" w:rsidP="00047B58">
      <w:pPr>
        <w:spacing w:after="0" w:line="240" w:lineRule="auto"/>
        <w:rPr>
          <w:rFonts w:ascii="Arial" w:hAnsi="Arial" w:cs="Arial"/>
          <w:sz w:val="20"/>
          <w:szCs w:val="20"/>
        </w:rPr>
      </w:pPr>
    </w:p>
    <w:p w14:paraId="26C1A889" w14:textId="7EBA6308" w:rsidR="00047B58" w:rsidRDefault="00047B58" w:rsidP="00047B58">
      <w:pPr>
        <w:spacing w:after="0" w:line="240" w:lineRule="auto"/>
        <w:rPr>
          <w:rFonts w:ascii="Arial" w:hAnsi="Arial" w:cs="Arial"/>
          <w:sz w:val="20"/>
          <w:szCs w:val="20"/>
        </w:rPr>
      </w:pPr>
    </w:p>
    <w:p w14:paraId="4F762803" w14:textId="02E9C98B" w:rsidR="00847FBA" w:rsidRDefault="00847FBA" w:rsidP="00047B58">
      <w:pPr>
        <w:spacing w:after="0" w:line="240" w:lineRule="auto"/>
        <w:rPr>
          <w:rFonts w:ascii="Arial" w:hAnsi="Arial" w:cs="Arial"/>
          <w:sz w:val="20"/>
          <w:szCs w:val="20"/>
        </w:rPr>
      </w:pPr>
    </w:p>
    <w:p w14:paraId="45F2CC6E" w14:textId="77777777" w:rsidR="00847FBA" w:rsidRPr="00047B58" w:rsidRDefault="00847FBA" w:rsidP="00047B58">
      <w:pPr>
        <w:spacing w:after="0" w:line="240" w:lineRule="auto"/>
        <w:rPr>
          <w:rFonts w:ascii="Arial" w:hAnsi="Arial" w:cs="Arial"/>
          <w:sz w:val="20"/>
          <w:szCs w:val="20"/>
        </w:rPr>
      </w:pPr>
      <w:bookmarkStart w:id="0" w:name="_GoBack"/>
      <w:bookmarkEnd w:id="0"/>
    </w:p>
    <w:p w14:paraId="166A170D" w14:textId="77777777" w:rsidR="00AC7250" w:rsidRPr="00047B58" w:rsidRDefault="00AC7250" w:rsidP="00AC7250">
      <w:pPr>
        <w:spacing w:after="0" w:line="240" w:lineRule="auto"/>
        <w:rPr>
          <w:rFonts w:ascii="Arial" w:hAnsi="Arial" w:cs="Arial"/>
          <w:sz w:val="20"/>
          <w:szCs w:val="20"/>
        </w:rPr>
      </w:pPr>
    </w:p>
    <w:p w14:paraId="7F03138D" w14:textId="77777777" w:rsidR="00AC7250" w:rsidRPr="00047B58" w:rsidRDefault="00AC7250" w:rsidP="00047B58">
      <w:pPr>
        <w:numPr>
          <w:ilvl w:val="0"/>
          <w:numId w:val="12"/>
        </w:numPr>
        <w:spacing w:after="0" w:line="240" w:lineRule="auto"/>
        <w:rPr>
          <w:rFonts w:ascii="Arial" w:hAnsi="Arial" w:cs="Arial"/>
          <w:sz w:val="20"/>
          <w:szCs w:val="20"/>
        </w:rPr>
      </w:pPr>
      <w:r w:rsidRPr="00047B58">
        <w:rPr>
          <w:rFonts w:ascii="Arial" w:hAnsi="Arial" w:cs="Arial"/>
          <w:sz w:val="20"/>
          <w:szCs w:val="20"/>
        </w:rPr>
        <w:t>(question)</w:t>
      </w:r>
    </w:p>
    <w:p w14:paraId="34121384" w14:textId="77777777" w:rsidR="00AC7250" w:rsidRPr="00047B58" w:rsidRDefault="00AC7250" w:rsidP="00AC7250">
      <w:pPr>
        <w:rPr>
          <w:rFonts w:ascii="Arial" w:eastAsia="Times New Roman" w:hAnsi="Arial" w:cs="Arial"/>
          <w:color w:val="000000"/>
          <w:sz w:val="20"/>
          <w:szCs w:val="20"/>
          <w:lang w:eastAsia="en-GB"/>
        </w:rPr>
      </w:pPr>
    </w:p>
    <w:p w14:paraId="34837C35" w14:textId="77777777" w:rsidR="00A07C08" w:rsidRPr="00047B58" w:rsidRDefault="00A07C08" w:rsidP="00AC7250">
      <w:pPr>
        <w:rPr>
          <w:rFonts w:ascii="Arial" w:hAnsi="Arial" w:cs="Arial"/>
          <w:sz w:val="20"/>
          <w:szCs w:val="20"/>
        </w:rPr>
      </w:pPr>
    </w:p>
    <w:sectPr w:rsidR="00A07C08" w:rsidRPr="00047B58" w:rsidSect="00704099">
      <w:footerReference w:type="default" r:id="rId18"/>
      <w:headerReference w:type="first" r:id="rId19"/>
      <w:footerReference w:type="first" r:id="rId20"/>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7CB06" w14:textId="77777777" w:rsidR="00F916D3" w:rsidRDefault="00F916D3" w:rsidP="00FB05A8">
      <w:pPr>
        <w:spacing w:after="0"/>
      </w:pPr>
      <w:r>
        <w:separator/>
      </w:r>
    </w:p>
  </w:endnote>
  <w:endnote w:type="continuationSeparator" w:id="0">
    <w:p w14:paraId="7AD05E54" w14:textId="77777777" w:rsidR="00F916D3" w:rsidRDefault="00F916D3" w:rsidP="00FB05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48F27E1C" w14:textId="77777777" w:rsidTr="00DF61A6">
      <w:tc>
        <w:tcPr>
          <w:tcW w:w="567" w:type="dxa"/>
          <w:shd w:val="clear" w:color="auto" w:fill="282878"/>
          <w:vAlign w:val="center"/>
        </w:tcPr>
        <w:p w14:paraId="34FDE0CA" w14:textId="77777777" w:rsidR="00D24386" w:rsidRPr="00662DF8" w:rsidRDefault="00D24386" w:rsidP="00D24386">
          <w:pPr>
            <w:pStyle w:val="Footer"/>
            <w:rPr>
              <w:sz w:val="10"/>
              <w:szCs w:val="10"/>
            </w:rPr>
          </w:pPr>
        </w:p>
      </w:tc>
      <w:tc>
        <w:tcPr>
          <w:tcW w:w="5245" w:type="dxa"/>
          <w:shd w:val="clear" w:color="auto" w:fill="282878"/>
          <w:vAlign w:val="center"/>
        </w:tcPr>
        <w:p w14:paraId="0AA5848C"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0ADA9633"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5E776E">
            <w:rPr>
              <w:noProof/>
            </w:rPr>
            <w:t>2</w:t>
          </w:r>
          <w:r w:rsidR="00D24386" w:rsidRPr="00662DF8">
            <w:rPr>
              <w:noProof/>
            </w:rPr>
            <w:fldChar w:fldCharType="end"/>
          </w:r>
        </w:p>
      </w:tc>
      <w:tc>
        <w:tcPr>
          <w:tcW w:w="2835" w:type="dxa"/>
          <w:shd w:val="clear" w:color="auto" w:fill="282878"/>
          <w:vAlign w:val="center"/>
        </w:tcPr>
        <w:p w14:paraId="7EC0E3DC"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2DAD724A" w14:textId="77777777" w:rsidTr="00DF61A6">
      <w:tc>
        <w:tcPr>
          <w:tcW w:w="567" w:type="dxa"/>
          <w:shd w:val="clear" w:color="auto" w:fill="282878"/>
        </w:tcPr>
        <w:p w14:paraId="19DCD682" w14:textId="77777777" w:rsidR="00D24386" w:rsidRPr="00662DF8" w:rsidRDefault="00D24386" w:rsidP="00D24386">
          <w:pPr>
            <w:pStyle w:val="Footer"/>
            <w:rPr>
              <w:sz w:val="4"/>
              <w:szCs w:val="4"/>
            </w:rPr>
          </w:pPr>
        </w:p>
      </w:tc>
      <w:tc>
        <w:tcPr>
          <w:tcW w:w="5245" w:type="dxa"/>
          <w:shd w:val="clear" w:color="auto" w:fill="282878"/>
        </w:tcPr>
        <w:p w14:paraId="481E0701" w14:textId="77777777" w:rsidR="00D24386" w:rsidRPr="00662DF8" w:rsidRDefault="00D24386" w:rsidP="00D24386">
          <w:pPr>
            <w:pStyle w:val="Footer"/>
            <w:rPr>
              <w:sz w:val="4"/>
              <w:szCs w:val="4"/>
            </w:rPr>
          </w:pPr>
        </w:p>
      </w:tc>
      <w:tc>
        <w:tcPr>
          <w:tcW w:w="3261" w:type="dxa"/>
          <w:shd w:val="clear" w:color="auto" w:fill="282878"/>
        </w:tcPr>
        <w:p w14:paraId="42FF79AB" w14:textId="77777777" w:rsidR="00D24386" w:rsidRPr="00662DF8" w:rsidRDefault="00D24386" w:rsidP="00D24386">
          <w:pPr>
            <w:pStyle w:val="Footer"/>
            <w:rPr>
              <w:sz w:val="4"/>
              <w:szCs w:val="4"/>
            </w:rPr>
          </w:pPr>
        </w:p>
      </w:tc>
      <w:tc>
        <w:tcPr>
          <w:tcW w:w="2835" w:type="dxa"/>
          <w:shd w:val="clear" w:color="auto" w:fill="282878"/>
        </w:tcPr>
        <w:p w14:paraId="5DEB79D3" w14:textId="77777777" w:rsidR="00D24386" w:rsidRPr="00662DF8" w:rsidRDefault="00D24386" w:rsidP="00D24386">
          <w:pPr>
            <w:pStyle w:val="Footer"/>
            <w:rPr>
              <w:sz w:val="4"/>
              <w:szCs w:val="4"/>
            </w:rPr>
          </w:pPr>
        </w:p>
      </w:tc>
    </w:tr>
  </w:tbl>
  <w:p w14:paraId="7206442A"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18E1DEF6" w14:textId="77777777" w:rsidTr="00662DF8">
      <w:tc>
        <w:tcPr>
          <w:tcW w:w="567" w:type="dxa"/>
          <w:shd w:val="clear" w:color="auto" w:fill="282878"/>
          <w:vAlign w:val="center"/>
        </w:tcPr>
        <w:p w14:paraId="58CC6D77" w14:textId="77777777" w:rsidR="00DF61A6" w:rsidRPr="00662DF8" w:rsidRDefault="00DF61A6" w:rsidP="00662DF8">
          <w:pPr>
            <w:pStyle w:val="Footer"/>
            <w:rPr>
              <w:sz w:val="10"/>
              <w:szCs w:val="10"/>
            </w:rPr>
          </w:pPr>
        </w:p>
      </w:tc>
      <w:tc>
        <w:tcPr>
          <w:tcW w:w="5245" w:type="dxa"/>
          <w:shd w:val="clear" w:color="auto" w:fill="282878"/>
          <w:vAlign w:val="center"/>
        </w:tcPr>
        <w:p w14:paraId="35905DE0"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7E6E2693"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5E776E">
            <w:rPr>
              <w:noProof/>
            </w:rPr>
            <w:t>1</w:t>
          </w:r>
          <w:r w:rsidRPr="00662DF8">
            <w:rPr>
              <w:noProof/>
            </w:rPr>
            <w:fldChar w:fldCharType="end"/>
          </w:r>
        </w:p>
      </w:tc>
      <w:tc>
        <w:tcPr>
          <w:tcW w:w="2835" w:type="dxa"/>
          <w:shd w:val="clear" w:color="auto" w:fill="282878"/>
          <w:vAlign w:val="center"/>
        </w:tcPr>
        <w:p w14:paraId="62CACB30"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48727EEA" w14:textId="77777777" w:rsidTr="00662DF8">
      <w:tc>
        <w:tcPr>
          <w:tcW w:w="567" w:type="dxa"/>
          <w:shd w:val="clear" w:color="auto" w:fill="282878"/>
        </w:tcPr>
        <w:p w14:paraId="2C3333C6" w14:textId="77777777" w:rsidR="00DF61A6" w:rsidRPr="00662DF8" w:rsidRDefault="00DF61A6" w:rsidP="00662DF8">
          <w:pPr>
            <w:pStyle w:val="Footer"/>
            <w:rPr>
              <w:sz w:val="4"/>
              <w:szCs w:val="4"/>
            </w:rPr>
          </w:pPr>
        </w:p>
      </w:tc>
      <w:tc>
        <w:tcPr>
          <w:tcW w:w="5245" w:type="dxa"/>
          <w:shd w:val="clear" w:color="auto" w:fill="282878"/>
        </w:tcPr>
        <w:p w14:paraId="4355F371" w14:textId="77777777" w:rsidR="00DF61A6" w:rsidRPr="00662DF8" w:rsidRDefault="00DF61A6" w:rsidP="00662DF8">
          <w:pPr>
            <w:pStyle w:val="Footer"/>
            <w:rPr>
              <w:sz w:val="4"/>
              <w:szCs w:val="4"/>
            </w:rPr>
          </w:pPr>
        </w:p>
      </w:tc>
      <w:tc>
        <w:tcPr>
          <w:tcW w:w="3261" w:type="dxa"/>
          <w:shd w:val="clear" w:color="auto" w:fill="282878"/>
        </w:tcPr>
        <w:p w14:paraId="53691EF3" w14:textId="77777777" w:rsidR="00DF61A6" w:rsidRPr="00662DF8" w:rsidRDefault="00DF61A6" w:rsidP="00662DF8">
          <w:pPr>
            <w:pStyle w:val="Footer"/>
            <w:rPr>
              <w:sz w:val="4"/>
              <w:szCs w:val="4"/>
            </w:rPr>
          </w:pPr>
        </w:p>
      </w:tc>
      <w:tc>
        <w:tcPr>
          <w:tcW w:w="2835" w:type="dxa"/>
          <w:shd w:val="clear" w:color="auto" w:fill="282878"/>
        </w:tcPr>
        <w:p w14:paraId="02D53582" w14:textId="77777777" w:rsidR="00DF61A6" w:rsidRPr="00662DF8" w:rsidRDefault="00DF61A6" w:rsidP="00662DF8">
          <w:pPr>
            <w:pStyle w:val="Footer"/>
            <w:rPr>
              <w:sz w:val="4"/>
              <w:szCs w:val="4"/>
            </w:rPr>
          </w:pPr>
        </w:p>
      </w:tc>
    </w:tr>
  </w:tbl>
  <w:p w14:paraId="6B7BA3C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910EA" w14:textId="77777777" w:rsidR="00F916D3" w:rsidRDefault="00F916D3" w:rsidP="00FB05A8">
      <w:pPr>
        <w:spacing w:after="0"/>
      </w:pPr>
      <w:r>
        <w:separator/>
      </w:r>
    </w:p>
  </w:footnote>
  <w:footnote w:type="continuationSeparator" w:id="0">
    <w:p w14:paraId="00C9FC2A" w14:textId="77777777" w:rsidR="00F916D3" w:rsidRDefault="00F916D3" w:rsidP="00FB05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18F11C21" w14:textId="77777777" w:rsidTr="00662DF8">
      <w:tc>
        <w:tcPr>
          <w:tcW w:w="10682" w:type="dxa"/>
          <w:shd w:val="clear" w:color="auto" w:fill="auto"/>
        </w:tcPr>
        <w:p w14:paraId="3208DC1D" w14:textId="77777777" w:rsidR="00DF61A6" w:rsidRPr="00FB05A8" w:rsidRDefault="00DF61A6" w:rsidP="00662DF8">
          <w:pPr>
            <w:pStyle w:val="Header"/>
            <w:spacing w:after="425"/>
            <w:jc w:val="center"/>
          </w:pPr>
          <w:r w:rsidRPr="006B6875">
            <w:rPr>
              <w:noProof/>
              <w:lang w:eastAsia="en-GB"/>
            </w:rPr>
            <w:pict w14:anchorId="01319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198.45pt;height:33.8pt;visibility:visible">
                <v:imagedata r:id="rId1" o:title=""/>
              </v:shape>
            </w:pict>
          </w:r>
        </w:p>
      </w:tc>
    </w:tr>
  </w:tbl>
  <w:p w14:paraId="74D0DE6C"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83E"/>
    <w:multiLevelType w:val="hybridMultilevel"/>
    <w:tmpl w:val="5A7A8836"/>
    <w:lvl w:ilvl="0" w:tplc="196A52E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7035F1"/>
    <w:multiLevelType w:val="hybridMultilevel"/>
    <w:tmpl w:val="4BBAA10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A32101"/>
    <w:multiLevelType w:val="hybridMultilevel"/>
    <w:tmpl w:val="ADE47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A4455"/>
    <w:multiLevelType w:val="hybridMultilevel"/>
    <w:tmpl w:val="879875D2"/>
    <w:lvl w:ilvl="0" w:tplc="9AEA6A7C">
      <w:start w:val="1"/>
      <w:numFmt w:val="lowerLetter"/>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432CF"/>
    <w:multiLevelType w:val="hybridMultilevel"/>
    <w:tmpl w:val="CB8C2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26247"/>
    <w:multiLevelType w:val="hybridMultilevel"/>
    <w:tmpl w:val="BB58B18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D08F1"/>
    <w:multiLevelType w:val="hybridMultilevel"/>
    <w:tmpl w:val="562C5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5662B9"/>
    <w:multiLevelType w:val="hybridMultilevel"/>
    <w:tmpl w:val="5E2083F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6A828F4"/>
    <w:multiLevelType w:val="hybridMultilevel"/>
    <w:tmpl w:val="1F4C0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8919D3"/>
    <w:multiLevelType w:val="hybridMultilevel"/>
    <w:tmpl w:val="D75C60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D172C84"/>
    <w:multiLevelType w:val="hybridMultilevel"/>
    <w:tmpl w:val="E2CC4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10"/>
  </w:num>
  <w:num w:numId="6">
    <w:abstractNumId w:val="7"/>
  </w:num>
  <w:num w:numId="7">
    <w:abstractNumId w:val="11"/>
  </w:num>
  <w:num w:numId="8">
    <w:abstractNumId w:val="5"/>
  </w:num>
  <w:num w:numId="9">
    <w:abstractNumId w:val="8"/>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250"/>
    <w:rsid w:val="00047B58"/>
    <w:rsid w:val="00082418"/>
    <w:rsid w:val="000F3DC8"/>
    <w:rsid w:val="001A5B65"/>
    <w:rsid w:val="001F0658"/>
    <w:rsid w:val="0030503A"/>
    <w:rsid w:val="0030685C"/>
    <w:rsid w:val="00405B5A"/>
    <w:rsid w:val="004369D1"/>
    <w:rsid w:val="005C1879"/>
    <w:rsid w:val="005E776E"/>
    <w:rsid w:val="00636173"/>
    <w:rsid w:val="00662DF8"/>
    <w:rsid w:val="00675492"/>
    <w:rsid w:val="006F5CD6"/>
    <w:rsid w:val="00704099"/>
    <w:rsid w:val="00740620"/>
    <w:rsid w:val="00847FBA"/>
    <w:rsid w:val="00942029"/>
    <w:rsid w:val="009F49D0"/>
    <w:rsid w:val="00A07C08"/>
    <w:rsid w:val="00A52645"/>
    <w:rsid w:val="00A95D12"/>
    <w:rsid w:val="00AC7250"/>
    <w:rsid w:val="00B241D0"/>
    <w:rsid w:val="00CE2E35"/>
    <w:rsid w:val="00D06F19"/>
    <w:rsid w:val="00D16FC4"/>
    <w:rsid w:val="00D24386"/>
    <w:rsid w:val="00D37E3B"/>
    <w:rsid w:val="00DF61A6"/>
    <w:rsid w:val="00E10AAB"/>
    <w:rsid w:val="00EA0BD1"/>
    <w:rsid w:val="00F916D3"/>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0F2E1"/>
  <w15:chartTrackingRefBased/>
  <w15:docId w15:val="{1A30CE3F-2A58-48BE-9C71-8C7261D7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250"/>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bCs/>
      <w:iCs/>
      <w:color w:val="282878"/>
      <w:sz w:val="28"/>
      <w:szCs w:val="28"/>
    </w:rPr>
  </w:style>
  <w:style w:type="paragraph" w:styleId="Heading3">
    <w:name w:val="heading 3"/>
    <w:basedOn w:val="Normal"/>
    <w:next w:val="Normal"/>
    <w:link w:val="Heading3Char"/>
    <w:autoRedefine/>
    <w:uiPriority w:val="9"/>
    <w:unhideWhenUsed/>
    <w:qFormat/>
    <w:rsid w:val="00047B58"/>
    <w:pPr>
      <w:keepNext/>
      <w:numPr>
        <w:numId w:val="10"/>
      </w:numPr>
      <w:spacing w:before="24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spacing w:after="0" w:line="240" w:lineRule="auto"/>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qFormat/>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047B58"/>
    <w:rPr>
      <w:rFonts w:ascii="Arial" w:eastAsia="Times New Roman" w:hAnsi="Arial" w:cs="Arial"/>
      <w:b/>
      <w:bCs/>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5C1879"/>
    <w:pPr>
      <w:numPr>
        <w:numId w:val="1"/>
      </w:numPr>
      <w:spacing w:after="0"/>
      <w:ind w:left="714" w:hanging="357"/>
    </w:pPr>
    <w:rPr>
      <w:sz w:val="18"/>
    </w:rPr>
  </w:style>
  <w:style w:type="paragraph" w:styleId="NoSpacing">
    <w:name w:val="No Spacing"/>
    <w:uiPriority w:val="1"/>
    <w:qFormat/>
    <w:rsid w:val="005C1879"/>
    <w:rPr>
      <w:rFonts w:ascii="Arial" w:hAnsi="Arial"/>
      <w:color w:val="393839"/>
      <w:szCs w:val="22"/>
      <w:lang w:eastAsia="en-US"/>
    </w:rPr>
  </w:style>
  <w:style w:type="character" w:customStyle="1" w:styleId="BulletpointChar">
    <w:name w:val="Bullet point Char"/>
    <w:link w:val="Bulletpoint"/>
    <w:rsid w:val="005C1879"/>
    <w:rPr>
      <w:rFonts w:ascii="Arial" w:hAnsi="Arial"/>
      <w:color w:val="393839"/>
      <w:sz w:val="18"/>
      <w:szCs w:val="22"/>
      <w:lang w:eastAsia="en-US"/>
    </w:rPr>
  </w:style>
  <w:style w:type="paragraph" w:styleId="NormalWeb">
    <w:name w:val="Normal (Web)"/>
    <w:basedOn w:val="Normal"/>
    <w:uiPriority w:val="99"/>
    <w:unhideWhenUsed/>
    <w:rsid w:val="00AC725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AC7250"/>
    <w:rPr>
      <w:color w:val="0000FF"/>
      <w:u w:val="single"/>
    </w:rPr>
  </w:style>
  <w:style w:type="character" w:styleId="Strong">
    <w:name w:val="Strong"/>
    <w:uiPriority w:val="22"/>
    <w:qFormat/>
    <w:rsid w:val="00AC7250"/>
    <w:rPr>
      <w:b/>
      <w:bCs/>
    </w:rPr>
  </w:style>
  <w:style w:type="paragraph" w:styleId="BlockText">
    <w:name w:val="Block Text"/>
    <w:basedOn w:val="Normal"/>
    <w:uiPriority w:val="99"/>
    <w:semiHidden/>
    <w:unhideWhenUsed/>
    <w:rsid w:val="00AC7250"/>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uiPriority w:val="99"/>
    <w:semiHidden/>
    <w:unhideWhenUsed/>
    <w:rsid w:val="00047B58"/>
    <w:rPr>
      <w:color w:val="605E5C"/>
      <w:shd w:val="clear" w:color="auto" w:fill="E1DFDD"/>
    </w:rPr>
  </w:style>
  <w:style w:type="character" w:styleId="CommentReference">
    <w:name w:val="annotation reference"/>
    <w:uiPriority w:val="99"/>
    <w:semiHidden/>
    <w:unhideWhenUsed/>
    <w:rsid w:val="00047B58"/>
    <w:rPr>
      <w:sz w:val="16"/>
      <w:szCs w:val="16"/>
    </w:rPr>
  </w:style>
  <w:style w:type="paragraph" w:styleId="CommentText">
    <w:name w:val="annotation text"/>
    <w:basedOn w:val="Normal"/>
    <w:link w:val="CommentTextChar"/>
    <w:uiPriority w:val="99"/>
    <w:semiHidden/>
    <w:unhideWhenUsed/>
    <w:rsid w:val="00047B58"/>
    <w:rPr>
      <w:sz w:val="20"/>
      <w:szCs w:val="20"/>
    </w:rPr>
  </w:style>
  <w:style w:type="character" w:customStyle="1" w:styleId="CommentTextChar">
    <w:name w:val="Comment Text Char"/>
    <w:link w:val="CommentText"/>
    <w:uiPriority w:val="99"/>
    <w:semiHidden/>
    <w:rsid w:val="00047B58"/>
    <w:rPr>
      <w:lang w:eastAsia="en-US"/>
    </w:rPr>
  </w:style>
  <w:style w:type="paragraph" w:styleId="CommentSubject">
    <w:name w:val="annotation subject"/>
    <w:basedOn w:val="CommentText"/>
    <w:next w:val="CommentText"/>
    <w:link w:val="CommentSubjectChar"/>
    <w:uiPriority w:val="99"/>
    <w:semiHidden/>
    <w:unhideWhenUsed/>
    <w:rsid w:val="00047B58"/>
    <w:rPr>
      <w:b/>
      <w:bCs/>
    </w:rPr>
  </w:style>
  <w:style w:type="character" w:customStyle="1" w:styleId="CommentSubjectChar">
    <w:name w:val="Comment Subject Char"/>
    <w:link w:val="CommentSubject"/>
    <w:uiPriority w:val="99"/>
    <w:semiHidden/>
    <w:rsid w:val="00047B5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aru.ac.uk/referencing/harvard.htm" TargetMode="External"/><Relationship Id="rId13" Type="http://schemas.openxmlformats.org/officeDocument/2006/relationships/hyperlink" Target="http://elearning.tafe.tas.edu.au/library/referencing/reference15.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earning.tafe.tas.edu.au/library/referencing/reference15.htm" TargetMode="External"/><Relationship Id="rId17" Type="http://schemas.openxmlformats.org/officeDocument/2006/relationships/hyperlink" Target="http://elearning.tafe.tas.edu.au/library/referencing/reference15.htm" TargetMode="External"/><Relationship Id="rId2" Type="http://schemas.openxmlformats.org/officeDocument/2006/relationships/numbering" Target="numbering.xml"/><Relationship Id="rId16" Type="http://schemas.openxmlformats.org/officeDocument/2006/relationships/hyperlink" Target="http://elearning.tafe.tas.edu.au/library/referencing/reference15.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earning.tafe.tas.edu.au/library/referencing/reference15.htm" TargetMode="External"/><Relationship Id="rId5" Type="http://schemas.openxmlformats.org/officeDocument/2006/relationships/webSettings" Target="webSettings.xml"/><Relationship Id="rId15" Type="http://schemas.openxmlformats.org/officeDocument/2006/relationships/hyperlink" Target="http://elearning.tafe.tas.edu.au/library/referencing/reference15.htm" TargetMode="External"/><Relationship Id="rId10" Type="http://schemas.openxmlformats.org/officeDocument/2006/relationships/hyperlink" Target="http://elearning.tafe.tas.edu.au/library/referencing/reference15.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learning.tafe.tas.edu.au/library/referencing/reference15.htm" TargetMode="External"/><Relationship Id="rId14" Type="http://schemas.openxmlformats.org/officeDocument/2006/relationships/hyperlink" Target="http://elearning.tafe.tas.edu.au/library/referencing/reference15.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macbeth\OneDrive%20-%20Kaplan%20International\Materials%20-%20Music,%20Pictures,%20etc\Templates\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E65A8-5197-4F74-B009-B692B33E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37</TotalTime>
  <Pages>6</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MacBeth</dc:creator>
  <cp:keywords/>
  <cp:lastModifiedBy>Jamie MacBeth</cp:lastModifiedBy>
  <cp:revision>2</cp:revision>
  <dcterms:created xsi:type="dcterms:W3CDTF">2020-05-22T11:30:00Z</dcterms:created>
  <dcterms:modified xsi:type="dcterms:W3CDTF">2020-05-22T12:07:00Z</dcterms:modified>
</cp:coreProperties>
</file>