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C24E8B" w:rsidR="00A671B3" w:rsidP="73FDA270" w:rsidRDefault="00A671B3" w14:paraId="42A05EE4" w14:textId="136EC995">
      <w:pPr>
        <w:pStyle w:val="Subtitle"/>
        <w:rPr>
          <w:rFonts w:cs="Arial"/>
          <w:color w:val="282878"/>
          <w:lang w:val="en-GB"/>
        </w:rPr>
      </w:pPr>
      <w:r w:rsidRPr="00C24E8B">
        <w:rPr>
          <w:rFonts w:cs="Arial"/>
          <w:color w:val="282878"/>
          <w:kern w:val="32"/>
          <w:lang w:val="en-GB"/>
        </w:rPr>
        <w:t>Theme 0</w:t>
      </w:r>
      <w:r w:rsidRPr="00C24E8B" w:rsidR="00C24E8B">
        <w:rPr>
          <w:rFonts w:cs="Arial"/>
          <w:color w:val="282878"/>
          <w:kern w:val="32"/>
          <w:lang w:val="en-GB"/>
        </w:rPr>
        <w:t>2</w:t>
      </w:r>
      <w:r w:rsidRPr="00C24E8B">
        <w:rPr>
          <w:rFonts w:cs="Arial"/>
          <w:color w:val="282878"/>
          <w:kern w:val="32"/>
          <w:lang w:val="en-GB"/>
        </w:rPr>
        <w:t xml:space="preserve">: </w:t>
      </w:r>
      <w:r w:rsidRPr="00C24E8B" w:rsidR="000821C3">
        <w:rPr>
          <w:rFonts w:cs="Arial"/>
          <w:color w:val="282878"/>
          <w:kern w:val="32"/>
          <w:lang w:val="en-GB"/>
        </w:rPr>
        <w:t>Framework for planning research</w:t>
      </w:r>
    </w:p>
    <w:p w:rsidRPr="00C24E8B" w:rsidR="00830FF3" w:rsidP="00C24E8B" w:rsidRDefault="00C24E8B" w14:paraId="1117AD21" w14:textId="7593868A">
      <w:pPr>
        <w:spacing w:after="200" w:line="276" w:lineRule="auto"/>
        <w:rPr>
          <w:rFonts w:eastAsia="Times New Roman"/>
          <w:color w:val="282878"/>
          <w:sz w:val="28"/>
          <w:szCs w:val="28"/>
          <w:lang w:val="en-GB"/>
        </w:rPr>
      </w:pPr>
      <w:bookmarkStart w:name="_GoBack" w:id="0"/>
      <w:r w:rsidRPr="00C24E8B">
        <w:rPr>
          <w:rFonts w:eastAsia="Times New Roman"/>
          <w:color w:val="282878"/>
          <w:sz w:val="28"/>
          <w:szCs w:val="28"/>
          <w:lang w:val="en-GB"/>
        </w:rPr>
        <w:t>STUDENT EXAMPLE PROPOSAL</w:t>
      </w:r>
      <w:bookmarkEnd w:id="0"/>
      <w:r w:rsidRPr="00C24E8B">
        <w:rPr>
          <w:rFonts w:eastAsia="Times New Roman"/>
          <w:color w:val="282878"/>
          <w:sz w:val="28"/>
          <w:szCs w:val="28"/>
          <w:lang w:val="en-GB"/>
        </w:rPr>
        <w:t>: Annotations and Working Bibliography</w:t>
      </w:r>
    </w:p>
    <w:p w:rsidR="00C24E8B" w:rsidP="55328CED" w:rsidRDefault="00C24E8B" w14:paraId="74744EA5" w14:textId="77777777">
      <w:pPr>
        <w:spacing w:after="200" w:line="276" w:lineRule="auto"/>
        <w:rPr>
          <w:rFonts w:eastAsia="Times New Roman"/>
          <w:color w:val="282878"/>
          <w:sz w:val="28"/>
          <w:szCs w:val="28"/>
          <w:lang w:val="en-GB"/>
        </w:rPr>
      </w:pPr>
    </w:p>
    <w:p w:rsidRPr="00C24E8B" w:rsidR="00C24E8B" w:rsidP="55328CED" w:rsidRDefault="00C24E8B" w14:paraId="33E171E6" w14:textId="21166D85">
      <w:pPr>
        <w:spacing w:after="200" w:line="276" w:lineRule="auto"/>
        <w:rPr>
          <w:rFonts w:eastAsia="Times New Roman"/>
          <w:color w:val="282878"/>
          <w:sz w:val="28"/>
          <w:szCs w:val="28"/>
          <w:lang w:val="en-GB"/>
        </w:rPr>
      </w:pPr>
      <w:r w:rsidRPr="00C24E8B">
        <w:rPr>
          <w:rFonts w:eastAsia="Times New Roman"/>
          <w:color w:val="282878"/>
          <w:sz w:val="28"/>
          <w:szCs w:val="28"/>
          <w:lang w:val="en-GB"/>
        </w:rPr>
        <w:t>TOPIC: A Critical Comparison of Bio-Inks used for Bioprinting</w:t>
      </w:r>
    </w:p>
    <w:p w:rsidR="000821C3" w:rsidP="000821C3" w:rsidRDefault="000821C3" w14:paraId="672A6659" w14:textId="43307D72">
      <w:pPr>
        <w:jc w:val="both"/>
        <w:rPr>
          <w:rFonts w:eastAsia="Times New Roman"/>
          <w:sz w:val="22"/>
          <w:szCs w:val="22"/>
          <w:lang w:val="en" w:eastAsia="en-GB"/>
        </w:rPr>
      </w:pPr>
    </w:p>
    <w:p w:rsidRPr="00C24E8B" w:rsidR="00C24E8B" w:rsidP="000821C3" w:rsidRDefault="00C24E8B" w14:paraId="4C54F7C3" w14:textId="77777777">
      <w:pPr>
        <w:jc w:val="both"/>
        <w:rPr>
          <w:rFonts w:eastAsia="Times New Roman"/>
          <w:sz w:val="22"/>
          <w:szCs w:val="22"/>
          <w:lang w:val="en" w:eastAsia="en-GB"/>
        </w:rPr>
      </w:pPr>
    </w:p>
    <w:p w:rsidR="00C24E8B" w:rsidP="00C24E8B" w:rsidRDefault="00C24E8B" w14:paraId="26D501CB" w14:textId="1705EFB6">
      <w:pPr>
        <w:spacing w:line="360" w:lineRule="auto"/>
        <w:rPr>
          <w:sz w:val="28"/>
          <w:szCs w:val="28"/>
        </w:rPr>
      </w:pPr>
      <w:r w:rsidRPr="00C24E8B">
        <w:rPr>
          <w:noProof/>
          <w:sz w:val="28"/>
          <w:szCs w:val="28"/>
        </w:rPr>
        <mc:AlternateContent>
          <mc:Choice Requires="wps">
            <w:drawing>
              <wp:anchor distT="0" distB="0" distL="114300" distR="114300" simplePos="0" relativeHeight="251656704" behindDoc="0" locked="0" layoutInCell="1" allowOverlap="1" wp14:anchorId="03DC3DA0" wp14:editId="3334D028">
                <wp:simplePos x="0" y="0"/>
                <wp:positionH relativeFrom="column">
                  <wp:posOffset>-9525</wp:posOffset>
                </wp:positionH>
                <wp:positionV relativeFrom="paragraph">
                  <wp:posOffset>257175</wp:posOffset>
                </wp:positionV>
                <wp:extent cx="57150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7150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9" style="position:absolute;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75pt,20.25pt" to="449.25pt,21pt" w14:anchorId="37DFD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">
                <v:stroke joinstyle="miter"/>
              </v:line>
            </w:pict>
          </mc:Fallback>
        </mc:AlternateContent>
      </w:r>
      <w:r w:rsidRPr="00C24E8B">
        <w:rPr>
          <w:sz w:val="28"/>
          <w:szCs w:val="28"/>
        </w:rPr>
        <w:t>Annotated Bibliography</w:t>
      </w:r>
    </w:p>
    <w:p w:rsidRPr="00C24E8B" w:rsidR="00C24E8B" w:rsidP="00C24E8B" w:rsidRDefault="00C24E8B" w14:paraId="59C9E146" w14:textId="77777777">
      <w:pPr>
        <w:spacing w:line="360" w:lineRule="auto"/>
        <w:rPr>
          <w:sz w:val="28"/>
          <w:szCs w:val="28"/>
        </w:rPr>
      </w:pPr>
    </w:p>
    <w:tbl>
      <w:tblPr>
        <w:tblStyle w:val="TableGrid"/>
        <w:tblW w:w="0" w:type="auto"/>
        <w:tblLook w:val="04A0" w:firstRow="1" w:lastRow="0" w:firstColumn="1" w:lastColumn="0" w:noHBand="0" w:noVBand="1"/>
      </w:tblPr>
      <w:tblGrid>
        <w:gridCol w:w="9962"/>
      </w:tblGrid>
      <w:tr w:rsidRPr="00C24E8B" w:rsidR="00C24E8B" w:rsidTr="00C24E8B" w14:paraId="37BD147E" w14:textId="77777777">
        <w:trPr>
          <w:cnfStyle w:val="100000000000" w:firstRow="1" w:lastRow="0" w:firstColumn="0" w:lastColumn="0" w:oddVBand="0" w:evenVBand="0" w:oddHBand="0" w:evenHBand="0" w:firstRowFirstColumn="0" w:firstRowLastColumn="0" w:lastRowFirstColumn="0" w:lastRowLastColumn="0"/>
          <w:trHeight w:val="763"/>
        </w:trPr>
        <w:tc>
          <w:tcPr>
            <w:tcW w:w="10314" w:type="dxa"/>
            <w:shd w:val="clear" w:color="auto" w:fill="D9D9D9" w:themeFill="background1" w:themeFillShade="D9"/>
          </w:tcPr>
          <w:p w:rsidRPr="00C24E8B" w:rsidR="00C24E8B" w:rsidP="005D07CD" w:rsidRDefault="00C24E8B" w14:paraId="5F937A06" w14:textId="77777777">
            <w:pPr>
              <w:spacing w:line="360" w:lineRule="auto"/>
              <w:rPr>
                <w:sz w:val="22"/>
                <w:szCs w:val="22"/>
              </w:rPr>
            </w:pPr>
            <w:proofErr w:type="spellStart"/>
            <w:r w:rsidRPr="00C24E8B">
              <w:rPr>
                <w:sz w:val="22"/>
                <w:szCs w:val="22"/>
              </w:rPr>
              <w:t>Skardal</w:t>
            </w:r>
            <w:proofErr w:type="spellEnd"/>
            <w:r w:rsidRPr="00C24E8B">
              <w:rPr>
                <w:sz w:val="22"/>
                <w:szCs w:val="22"/>
              </w:rPr>
              <w:t xml:space="preserve">, A. and </w:t>
            </w:r>
            <w:proofErr w:type="spellStart"/>
            <w:r w:rsidRPr="00C24E8B">
              <w:rPr>
                <w:sz w:val="22"/>
                <w:szCs w:val="22"/>
              </w:rPr>
              <w:t>Atala</w:t>
            </w:r>
            <w:proofErr w:type="spellEnd"/>
            <w:r w:rsidRPr="00C24E8B">
              <w:rPr>
                <w:sz w:val="22"/>
                <w:szCs w:val="22"/>
              </w:rPr>
              <w:t xml:space="preserve">, A. (2015). Biomaterials for Integration with 3-D Bioprinting. </w:t>
            </w:r>
            <w:r w:rsidRPr="00C24E8B">
              <w:rPr>
                <w:i/>
                <w:iCs/>
                <w:sz w:val="22"/>
                <w:szCs w:val="22"/>
              </w:rPr>
              <w:t>Annals of Biomedical Engineering</w:t>
            </w:r>
            <w:r w:rsidRPr="00C24E8B">
              <w:rPr>
                <w:sz w:val="22"/>
                <w:szCs w:val="22"/>
              </w:rPr>
              <w:t>, 43(3), 730-746.</w:t>
            </w:r>
          </w:p>
        </w:tc>
      </w:tr>
      <w:tr w:rsidRPr="00C24E8B" w:rsidR="00C24E8B" w:rsidTr="00C24E8B" w14:paraId="06C5A334" w14:textId="77777777">
        <w:trPr>
          <w:trHeight w:val="6499"/>
        </w:trPr>
        <w:tc>
          <w:tcPr>
            <w:tcW w:w="10314" w:type="dxa"/>
          </w:tcPr>
          <w:p w:rsidRPr="00C24E8B" w:rsidR="00C24E8B" w:rsidP="005D07CD" w:rsidRDefault="00C24E8B" w14:paraId="71640A30" w14:textId="77777777">
            <w:pPr>
              <w:spacing w:line="360" w:lineRule="auto"/>
              <w:jc w:val="both"/>
              <w:rPr>
                <w:sz w:val="22"/>
                <w:szCs w:val="22"/>
              </w:rPr>
            </w:pPr>
          </w:p>
          <w:p w:rsidR="00C24E8B" w:rsidP="005D07CD" w:rsidRDefault="00C24E8B" w14:paraId="4020A464" w14:textId="77777777">
            <w:pPr>
              <w:spacing w:line="360" w:lineRule="auto"/>
              <w:jc w:val="both"/>
              <w:rPr>
                <w:sz w:val="22"/>
                <w:szCs w:val="22"/>
              </w:rPr>
            </w:pPr>
            <w:r w:rsidRPr="00C24E8B">
              <w:rPr>
                <w:sz w:val="22"/>
                <w:szCs w:val="22"/>
              </w:rPr>
              <w:t>Firstly, this article provides a series of backgrounds of bio-printing approaches and explores them such as laser-assisted bio-printers, encompassing use of inkjet-like printers, photocuring-based devices and extrusion devices. Then, various biomaterials such as naturally derived hydrogels, synthetic gels and curable synthetic polymers are evaluated. Specifically, it describes how they are integrated with the bio-printing technologies. They are soft lithography, extrusion-based technologies, cellular inkjet printing and laser-induced forward transfer to generate bio-printed constructs with practical application in medicine. Moreover, this article also discusses certain popular biomaterial and their applications.</w:t>
            </w:r>
          </w:p>
          <w:p w:rsidRPr="00C24E8B" w:rsidR="00C24E8B" w:rsidP="005D07CD" w:rsidRDefault="00C24E8B" w14:paraId="25E7D48A" w14:textId="274FEC15">
            <w:pPr>
              <w:spacing w:line="360" w:lineRule="auto"/>
              <w:jc w:val="both"/>
              <w:rPr>
                <w:sz w:val="22"/>
                <w:szCs w:val="22"/>
              </w:rPr>
            </w:pPr>
            <w:r w:rsidRPr="00C24E8B">
              <w:rPr>
                <w:sz w:val="22"/>
                <w:szCs w:val="22"/>
              </w:rPr>
              <w:t xml:space="preserve"> </w:t>
            </w:r>
          </w:p>
          <w:p w:rsidRPr="00C24E8B" w:rsidR="00C24E8B" w:rsidP="005D07CD" w:rsidRDefault="00C24E8B" w14:paraId="49D18AC6" w14:textId="77777777">
            <w:pPr>
              <w:spacing w:line="360" w:lineRule="auto"/>
              <w:jc w:val="both"/>
              <w:rPr>
                <w:sz w:val="22"/>
                <w:szCs w:val="22"/>
              </w:rPr>
            </w:pPr>
            <w:r w:rsidRPr="00C24E8B">
              <w:rPr>
                <w:sz w:val="22"/>
                <w:szCs w:val="22"/>
              </w:rPr>
              <w:t xml:space="preserve">Biomaterials are a vital part existing on bioprinting. In some cases, biomaterials work as “glue” to connect the fabrication approaches and the biological cellular components. This article is relevant and written in 2014. In this article, there are a series of backgrounds, assessments and methodologies of </w:t>
            </w:r>
            <w:proofErr w:type="gramStart"/>
            <w:r w:rsidRPr="00C24E8B">
              <w:rPr>
                <w:sz w:val="22"/>
                <w:szCs w:val="22"/>
              </w:rPr>
              <w:t>a number of</w:t>
            </w:r>
            <w:proofErr w:type="gramEnd"/>
            <w:r w:rsidRPr="00C24E8B">
              <w:rPr>
                <w:sz w:val="22"/>
                <w:szCs w:val="22"/>
              </w:rPr>
              <w:t xml:space="preserve"> biomaterials. Furthermore, it discusses differences and relationship between biomaterials and bio-inks and current tendencies of biomaterials. Bio-inks I am going to explore are involved here and it is therefore sufficiently relevant to my report. I will be directed by the article to compare bio-inks such as hydrogels and microcarriers under some cases, which will be referred in my introduction and discussion.</w:t>
            </w:r>
          </w:p>
        </w:tc>
      </w:tr>
    </w:tbl>
    <w:p w:rsidR="00C24E8B" w:rsidP="00C24E8B" w:rsidRDefault="00C24E8B" w14:paraId="6712AA20" w14:textId="052081BE"/>
    <w:p w:rsidR="00C24E8B" w:rsidRDefault="00C24E8B" w14:paraId="4B1DF9FD" w14:textId="77777777">
      <w:r>
        <w:br w:type="page"/>
      </w:r>
    </w:p>
    <w:tbl>
      <w:tblPr>
        <w:tblStyle w:val="TableGrid"/>
        <w:tblW w:w="0" w:type="auto"/>
        <w:shd w:val="clear" w:color="auto" w:fill="D9D9D9" w:themeFill="background1" w:themeFillShade="D9"/>
        <w:tblLook w:val="04A0" w:firstRow="1" w:lastRow="0" w:firstColumn="1" w:lastColumn="0" w:noHBand="0" w:noVBand="1"/>
      </w:tblPr>
      <w:tblGrid>
        <w:gridCol w:w="9606"/>
      </w:tblGrid>
      <w:tr w:rsidRPr="00C24E8B" w:rsidR="00C24E8B" w:rsidTr="00C24E8B" w14:paraId="3DDAC846" w14:textId="77777777">
        <w:trPr>
          <w:cnfStyle w:val="100000000000" w:firstRow="1" w:lastRow="0" w:firstColumn="0" w:lastColumn="0" w:oddVBand="0" w:evenVBand="0" w:oddHBand="0" w:evenHBand="0" w:firstRowFirstColumn="0" w:firstRowLastColumn="0" w:lastRowFirstColumn="0" w:lastRowLastColumn="0"/>
          <w:trHeight w:val="20"/>
        </w:trPr>
        <w:tc>
          <w:tcPr>
            <w:tcW w:w="9606" w:type="dxa"/>
            <w:shd w:val="clear" w:color="auto" w:fill="D9D9D9" w:themeFill="background1" w:themeFillShade="D9"/>
          </w:tcPr>
          <w:p w:rsidRPr="00C24E8B" w:rsidR="00C24E8B" w:rsidP="005D07CD" w:rsidRDefault="00C24E8B" w14:paraId="455DE303" w14:textId="77777777">
            <w:pPr>
              <w:autoSpaceDE w:val="0"/>
              <w:autoSpaceDN w:val="0"/>
              <w:adjustRightInd w:val="0"/>
              <w:spacing w:line="360" w:lineRule="auto"/>
              <w:rPr>
                <w:sz w:val="22"/>
                <w:szCs w:val="22"/>
              </w:rPr>
            </w:pPr>
            <w:bookmarkStart w:name="_Hlk507365787" w:id="1"/>
            <w:proofErr w:type="spellStart"/>
            <w:r w:rsidRPr="00C24E8B">
              <w:rPr>
                <w:sz w:val="22"/>
                <w:szCs w:val="22"/>
              </w:rPr>
              <w:lastRenderedPageBreak/>
              <w:t>Hospodiuk</w:t>
            </w:r>
            <w:proofErr w:type="spellEnd"/>
            <w:r w:rsidRPr="00C24E8B">
              <w:rPr>
                <w:sz w:val="22"/>
                <w:szCs w:val="22"/>
              </w:rPr>
              <w:t xml:space="preserve">, M. Dey, M. </w:t>
            </w:r>
            <w:proofErr w:type="spellStart"/>
            <w:r w:rsidRPr="00C24E8B">
              <w:rPr>
                <w:sz w:val="22"/>
                <w:szCs w:val="22"/>
              </w:rPr>
              <w:t>Sosnoski</w:t>
            </w:r>
            <w:proofErr w:type="spellEnd"/>
            <w:r w:rsidRPr="00C24E8B">
              <w:rPr>
                <w:sz w:val="22"/>
                <w:szCs w:val="22"/>
              </w:rPr>
              <w:t xml:space="preserve">, D. and </w:t>
            </w:r>
            <w:proofErr w:type="spellStart"/>
            <w:r w:rsidRPr="00C24E8B">
              <w:rPr>
                <w:sz w:val="22"/>
                <w:szCs w:val="22"/>
              </w:rPr>
              <w:t>Ozbolat</w:t>
            </w:r>
            <w:proofErr w:type="spellEnd"/>
            <w:r w:rsidRPr="00C24E8B">
              <w:rPr>
                <w:sz w:val="22"/>
                <w:szCs w:val="22"/>
              </w:rPr>
              <w:t xml:space="preserve">, I. (2017). The </w:t>
            </w:r>
            <w:proofErr w:type="spellStart"/>
            <w:r w:rsidRPr="00C24E8B">
              <w:rPr>
                <w:sz w:val="22"/>
                <w:szCs w:val="22"/>
              </w:rPr>
              <w:t>bioink</w:t>
            </w:r>
            <w:proofErr w:type="spellEnd"/>
            <w:r w:rsidRPr="00C24E8B">
              <w:rPr>
                <w:sz w:val="22"/>
                <w:szCs w:val="22"/>
              </w:rPr>
              <w:t xml:space="preserve">: A comprehensive review on </w:t>
            </w:r>
            <w:proofErr w:type="spellStart"/>
            <w:r w:rsidRPr="00C24E8B">
              <w:rPr>
                <w:sz w:val="22"/>
                <w:szCs w:val="22"/>
              </w:rPr>
              <w:t>bioprintable</w:t>
            </w:r>
            <w:proofErr w:type="spellEnd"/>
            <w:r w:rsidRPr="00C24E8B">
              <w:rPr>
                <w:sz w:val="22"/>
                <w:szCs w:val="22"/>
              </w:rPr>
              <w:t xml:space="preserve"> materials, </w:t>
            </w:r>
            <w:r w:rsidRPr="00C24E8B">
              <w:rPr>
                <w:i/>
                <w:sz w:val="22"/>
                <w:szCs w:val="22"/>
              </w:rPr>
              <w:t>Biotechnology Advances</w:t>
            </w:r>
            <w:r w:rsidRPr="00C24E8B">
              <w:rPr>
                <w:sz w:val="22"/>
                <w:szCs w:val="22"/>
              </w:rPr>
              <w:t>, 35(2), 217–239.</w:t>
            </w:r>
            <w:r w:rsidRPr="00C24E8B">
              <w:rPr>
                <w:sz w:val="22"/>
                <w:szCs w:val="22"/>
              </w:rPr>
              <w:fldChar w:fldCharType="begin" w:fldLock="1"/>
            </w:r>
            <w:r w:rsidRPr="00C24E8B">
              <w:rPr>
                <w:sz w:val="22"/>
                <w:szCs w:val="22"/>
              </w:rPr>
              <w:instrText xml:space="preserve">ADDIN Mendeley Bibliography CSL_BIBLIOGRAPHY </w:instrText>
            </w:r>
            <w:r w:rsidRPr="00C24E8B">
              <w:rPr>
                <w:sz w:val="22"/>
                <w:szCs w:val="22"/>
              </w:rPr>
              <w:fldChar w:fldCharType="end"/>
            </w:r>
          </w:p>
        </w:tc>
      </w:tr>
      <w:tr w:rsidRPr="00C24E8B" w:rsidR="00C24E8B" w:rsidTr="00C24E8B" w14:paraId="49B548EA" w14:textId="77777777">
        <w:trPr>
          <w:trHeight w:val="20"/>
        </w:trPr>
        <w:tc>
          <w:tcPr>
            <w:tcW w:w="9606" w:type="dxa"/>
            <w:shd w:val="clear" w:color="auto" w:fill="FFFFFF" w:themeFill="background1"/>
          </w:tcPr>
          <w:p w:rsidR="00C24E8B" w:rsidP="005D07CD" w:rsidRDefault="00C24E8B" w14:paraId="58F92B02" w14:textId="77F9394B">
            <w:pPr>
              <w:spacing w:line="360" w:lineRule="auto"/>
              <w:jc w:val="both"/>
              <w:rPr>
                <w:sz w:val="22"/>
                <w:szCs w:val="22"/>
              </w:rPr>
            </w:pPr>
            <w:r w:rsidRPr="00C24E8B">
              <w:rPr>
                <w:sz w:val="22"/>
                <w:szCs w:val="22"/>
              </w:rPr>
              <w:t>Two major types of bio-inks are explored in this article. One is scaffold-based bio-ink such as hydrogels, decellularized matrix components and microcarriers, and another one is scaffold-free bio-ink which includes tissue spheroids, cell pellet and tissue strands. Then, they are mainly compared and evaluated based on bio-printability, biomimicry, resolution, affordability, scalability and practicality. Further, this article offers weaknesses of current bio-inks. It indicates that bio-inks should aim to reduce cell loss and enhance cell-cell interactions. In addition, there is rare research focusing on bio-inks even biomaterials and presents some fields that this technology needs to concentrate on in the future.</w:t>
            </w:r>
          </w:p>
          <w:p w:rsidRPr="00C24E8B" w:rsidR="00C24E8B" w:rsidP="005D07CD" w:rsidRDefault="00C24E8B" w14:paraId="2F17E929" w14:textId="77777777">
            <w:pPr>
              <w:spacing w:line="360" w:lineRule="auto"/>
              <w:jc w:val="both"/>
              <w:rPr>
                <w:sz w:val="22"/>
                <w:szCs w:val="22"/>
              </w:rPr>
            </w:pPr>
          </w:p>
          <w:p w:rsidRPr="00C24E8B" w:rsidR="00C24E8B" w:rsidP="005D07CD" w:rsidRDefault="00C24E8B" w14:paraId="69F3D167" w14:textId="77777777">
            <w:pPr>
              <w:spacing w:line="360" w:lineRule="auto"/>
              <w:jc w:val="both"/>
              <w:rPr>
                <w:sz w:val="22"/>
                <w:szCs w:val="22"/>
              </w:rPr>
            </w:pPr>
            <w:r w:rsidRPr="00C24E8B">
              <w:rPr>
                <w:sz w:val="22"/>
                <w:szCs w:val="22"/>
              </w:rPr>
              <w:t>Major types of bio-inks are introduced and explained in this article. Evaluation is also explained on a series of aspects. In my report, I am also going to compare separate bio-inks such as hydrogels and microcarriers. Therefore, it is almost entirely relevant to my report and is written in 2017. Moreover, there is a high reference value for me to compare and assess different bio-inks. Arranging this in my introduction and findings can be sensible and effective for reader to understand because it sufficiently introduces what is bio-ink and explores specific bio-inks.</w:t>
            </w:r>
          </w:p>
        </w:tc>
      </w:tr>
      <w:bookmarkEnd w:id="1"/>
    </w:tbl>
    <w:p w:rsidRPr="00C24E8B" w:rsidR="00C24E8B" w:rsidP="00C24E8B" w:rsidRDefault="00C24E8B" w14:paraId="3C4ABBCF" w14:textId="77777777">
      <w:pPr>
        <w:rPr>
          <w:sz w:val="22"/>
          <w:szCs w:val="22"/>
        </w:rPr>
      </w:pPr>
    </w:p>
    <w:tbl>
      <w:tblPr>
        <w:tblStyle w:val="TableGrid"/>
        <w:tblW w:w="0" w:type="auto"/>
        <w:tblLook w:val="04A0" w:firstRow="1" w:lastRow="0" w:firstColumn="1" w:lastColumn="0" w:noHBand="0" w:noVBand="1"/>
      </w:tblPr>
      <w:tblGrid>
        <w:gridCol w:w="9751"/>
      </w:tblGrid>
      <w:tr w:rsidRPr="00C24E8B" w:rsidR="00C24E8B" w:rsidTr="15E062FD" w14:paraId="3C171798" w14:textId="77777777">
        <w:trPr>
          <w:cnfStyle w:val="100000000000" w:firstRow="1" w:lastRow="0" w:firstColumn="0" w:lastColumn="0" w:oddVBand="0" w:evenVBand="0" w:oddHBand="0" w:evenHBand="0" w:firstRowFirstColumn="0" w:firstRowLastColumn="0" w:lastRowFirstColumn="0" w:lastRowLastColumn="0"/>
          <w:trHeight w:val="731"/>
        </w:trPr>
        <w:tc>
          <w:tcPr>
            <w:cnfStyle w:val="000000000000" w:firstRow="0" w:lastRow="0" w:firstColumn="0" w:lastColumn="0" w:oddVBand="0" w:evenVBand="0" w:oddHBand="0" w:evenHBand="0" w:firstRowFirstColumn="0" w:firstRowLastColumn="0" w:lastRowFirstColumn="0" w:lastRowLastColumn="0"/>
            <w:tcW w:w="9747" w:type="dxa"/>
            <w:shd w:val="clear" w:color="auto" w:fill="D9D9D9" w:themeFill="background1" w:themeFillShade="D9"/>
            <w:tcMar/>
          </w:tcPr>
          <w:p w:rsidRPr="00C24E8B" w:rsidR="00C24E8B" w:rsidP="005D07CD" w:rsidRDefault="00C24E8B" w14:paraId="06CB30AD" w14:textId="77777777">
            <w:pPr>
              <w:autoSpaceDE w:val="0"/>
              <w:autoSpaceDN w:val="0"/>
              <w:adjustRightInd w:val="0"/>
              <w:spacing w:line="360" w:lineRule="auto"/>
              <w:rPr>
                <w:sz w:val="22"/>
                <w:szCs w:val="22"/>
              </w:rPr>
            </w:pPr>
            <w:proofErr w:type="spellStart"/>
            <w:r w:rsidRPr="00C24E8B">
              <w:rPr>
                <w:sz w:val="22"/>
                <w:szCs w:val="22"/>
              </w:rPr>
              <w:t>Donderwinkel</w:t>
            </w:r>
            <w:proofErr w:type="spellEnd"/>
            <w:r w:rsidRPr="00C24E8B">
              <w:rPr>
                <w:sz w:val="22"/>
                <w:szCs w:val="22"/>
              </w:rPr>
              <w:t xml:space="preserve">, I. </w:t>
            </w:r>
            <w:proofErr w:type="spellStart"/>
            <w:r w:rsidRPr="00C24E8B">
              <w:rPr>
                <w:sz w:val="22"/>
                <w:szCs w:val="22"/>
              </w:rPr>
              <w:t>Hest</w:t>
            </w:r>
            <w:proofErr w:type="spellEnd"/>
            <w:r w:rsidRPr="00C24E8B">
              <w:rPr>
                <w:sz w:val="22"/>
                <w:szCs w:val="22"/>
              </w:rPr>
              <w:t xml:space="preserve">, J. and Cameron, N. (2017). Bio-inks for 3D bioprinting: recent advances and </w:t>
            </w:r>
            <w:proofErr w:type="gramStart"/>
            <w:r w:rsidRPr="00C24E8B">
              <w:rPr>
                <w:sz w:val="22"/>
                <w:szCs w:val="22"/>
              </w:rPr>
              <w:t>future prospects</w:t>
            </w:r>
            <w:proofErr w:type="gramEnd"/>
            <w:r w:rsidRPr="00C24E8B">
              <w:rPr>
                <w:sz w:val="22"/>
                <w:szCs w:val="22"/>
              </w:rPr>
              <w:t xml:space="preserve">, </w:t>
            </w:r>
            <w:proofErr w:type="spellStart"/>
            <w:r w:rsidRPr="00C24E8B">
              <w:rPr>
                <w:i/>
                <w:sz w:val="22"/>
                <w:szCs w:val="22"/>
              </w:rPr>
              <w:t>Polym</w:t>
            </w:r>
            <w:proofErr w:type="spellEnd"/>
            <w:r w:rsidRPr="00C24E8B">
              <w:rPr>
                <w:i/>
                <w:sz w:val="22"/>
                <w:szCs w:val="22"/>
              </w:rPr>
              <w:t xml:space="preserve">. Chem. </w:t>
            </w:r>
            <w:r w:rsidRPr="00C24E8B">
              <w:rPr>
                <w:sz w:val="22"/>
                <w:szCs w:val="22"/>
              </w:rPr>
              <w:t>8(31), 4451-4471.</w:t>
            </w:r>
          </w:p>
        </w:tc>
      </w:tr>
      <w:tr w:rsidRPr="00C24E8B" w:rsidR="00C24E8B" w:rsidTr="15E062FD" w14:paraId="0952DF69" w14:textId="77777777">
        <w:trPr>
          <w:trHeight w:val="6180"/>
        </w:trPr>
        <w:tc>
          <w:tcPr>
            <w:cnfStyle w:val="000000000000" w:firstRow="0" w:lastRow="0" w:firstColumn="0" w:lastColumn="0" w:oddVBand="0" w:evenVBand="0" w:oddHBand="0" w:evenHBand="0" w:firstRowFirstColumn="0" w:firstRowLastColumn="0" w:lastRowFirstColumn="0" w:lastRowLastColumn="0"/>
            <w:tcW w:w="9751" w:type="dxa"/>
            <w:tcMar/>
          </w:tcPr>
          <w:p w:rsidRPr="00C24E8B" w:rsidR="00C24E8B" w:rsidP="005D07CD" w:rsidRDefault="00C24E8B" w14:paraId="1FB4C8E4" w14:textId="77777777" w14:noSpellErr="1">
            <w:pPr>
              <w:spacing w:line="360" w:lineRule="auto"/>
              <w:jc w:val="both"/>
              <w:rPr>
                <w:sz w:val="22"/>
                <w:szCs w:val="22"/>
              </w:rPr>
            </w:pPr>
            <w:r w:rsidRPr="15E062FD" w:rsidR="00C24E8B">
              <w:rPr>
                <w:sz w:val="22"/>
                <w:szCs w:val="22"/>
              </w:rPr>
              <w:t xml:space="preserve">This is a comprehensive review and prediction about bioprinting technology. </w:t>
            </w:r>
            <w:r w:rsidRPr="15E062FD" w:rsidR="00C24E8B">
              <w:rPr>
                <w:sz w:val="22"/>
                <w:szCs w:val="22"/>
              </w:rPr>
              <w:t>The main techniques are mentioned in the article are extrusion-based, stereolithography, droplet-based, laser-induced forward transfer and integrated bioprinting. Then, bio-inks which are vital part</w:t>
            </w:r>
            <w:r w:rsidRPr="15E062FD" w:rsidR="00C24E8B">
              <w:rPr>
                <w:sz w:val="22"/>
                <w:szCs w:val="22"/>
              </w:rPr>
              <w:t>s</w:t>
            </w:r>
            <w:r w:rsidRPr="15E062FD" w:rsidR="00C24E8B">
              <w:rPr>
                <w:sz w:val="22"/>
                <w:szCs w:val="22"/>
              </w:rPr>
              <w:t xml:space="preserve"> in bioprinting are concentrated on. The main kinds of bio-ink materials are microcarriers, decellularized matrix components, cell aggregates and hydrogels. It also analyses traits of these bio-inks and evaluates them separately. </w:t>
            </w:r>
            <w:r w:rsidRPr="15E062FD" w:rsidR="00C24E8B">
              <w:rPr>
                <w:sz w:val="22"/>
                <w:szCs w:val="22"/>
              </w:rPr>
              <w:t>The article identifies future applications of these materials including tissue engineering, regenerative medicine, transplantation, drug-t</w:t>
            </w:r>
            <w:r w:rsidRPr="15E062FD" w:rsidR="00C24E8B">
              <w:rPr>
                <w:sz w:val="22"/>
                <w:szCs w:val="22"/>
              </w:rPr>
              <w:t xml:space="preserve">esting and cancer research. It also identifies current limitations in bioprinting which still need to be researched. The chief one is the resolution needs to be enhanced to fabricate structures with a complex inner architecture.  </w:t>
            </w:r>
          </w:p>
          <w:p w:rsidRPr="00C24E8B" w:rsidR="00C24E8B" w:rsidP="005D07CD" w:rsidRDefault="00C24E8B" w14:paraId="758BA240" w14:textId="77777777" w14:noSpellErr="1">
            <w:pPr>
              <w:spacing w:line="360" w:lineRule="auto"/>
              <w:jc w:val="both"/>
              <w:rPr>
                <w:sz w:val="22"/>
                <w:szCs w:val="22"/>
              </w:rPr>
            </w:pPr>
          </w:p>
          <w:p w:rsidRPr="00C24E8B" w:rsidR="00C24E8B" w:rsidP="005D07CD" w:rsidRDefault="00C24E8B" w14:paraId="08DC5FC6" w14:textId="77777777">
            <w:pPr>
              <w:spacing w:line="360" w:lineRule="auto"/>
              <w:jc w:val="both"/>
              <w:rPr>
                <w:sz w:val="22"/>
                <w:szCs w:val="22"/>
              </w:rPr>
            </w:pPr>
            <w:r w:rsidRPr="15E062FD" w:rsidR="00C24E8B">
              <w:rPr>
                <w:sz w:val="22"/>
                <w:szCs w:val="22"/>
              </w:rPr>
              <w:t>T</w:t>
            </w:r>
            <w:r w:rsidRPr="15E062FD" w:rsidR="00C24E8B">
              <w:rPr>
                <w:sz w:val="22"/>
                <w:szCs w:val="22"/>
              </w:rPr>
              <w:t xml:space="preserve">his article is </w:t>
            </w:r>
            <w:proofErr w:type="gramStart"/>
            <w:r w:rsidRPr="15E062FD" w:rsidR="00C24E8B">
              <w:rPr>
                <w:sz w:val="22"/>
                <w:szCs w:val="22"/>
              </w:rPr>
              <w:t>similar to</w:t>
            </w:r>
            <w:proofErr w:type="gramEnd"/>
            <w:r w:rsidRPr="15E062FD" w:rsidR="00C24E8B">
              <w:rPr>
                <w:sz w:val="22"/>
                <w:szCs w:val="22"/>
              </w:rPr>
              <w:t xml:space="preserve"> the work of </w:t>
            </w:r>
            <w:r w:rsidRPr="15E062FD" w:rsidR="00C24E8B">
              <w:rPr>
                <w:sz w:val="22"/>
                <w:szCs w:val="22"/>
              </w:rPr>
              <w:t>Hospodiuk</w:t>
            </w:r>
            <w:r w:rsidRPr="15E062FD" w:rsidR="00C24E8B">
              <w:rPr>
                <w:sz w:val="22"/>
                <w:szCs w:val="22"/>
              </w:rPr>
              <w:t xml:space="preserve">, Dey, </w:t>
            </w:r>
            <w:r w:rsidRPr="15E062FD" w:rsidR="00C24E8B">
              <w:rPr>
                <w:sz w:val="22"/>
                <w:szCs w:val="22"/>
              </w:rPr>
              <w:t>Sosnoski</w:t>
            </w:r>
            <w:r w:rsidRPr="15E062FD" w:rsidR="00C24E8B">
              <w:rPr>
                <w:sz w:val="22"/>
                <w:szCs w:val="22"/>
              </w:rPr>
              <w:t xml:space="preserve"> and </w:t>
            </w:r>
            <w:r w:rsidRPr="15E062FD" w:rsidR="00C24E8B">
              <w:rPr>
                <w:sz w:val="22"/>
                <w:szCs w:val="22"/>
              </w:rPr>
              <w:t>Ozbolat</w:t>
            </w:r>
            <w:r w:rsidRPr="15E062FD" w:rsidR="00C24E8B">
              <w:rPr>
                <w:sz w:val="22"/>
                <w:szCs w:val="22"/>
              </w:rPr>
              <w:t xml:space="preserve"> (20</w:t>
            </w:r>
            <w:r w:rsidRPr="15E062FD" w:rsidR="00C24E8B">
              <w:rPr>
                <w:sz w:val="22"/>
                <w:szCs w:val="22"/>
              </w:rPr>
              <w:t xml:space="preserve">17). They both discuss the methods of bioprinting and further </w:t>
            </w:r>
            <w:proofErr w:type="spellStart"/>
            <w:r w:rsidRPr="15E062FD" w:rsidR="00C24E8B">
              <w:rPr>
                <w:sz w:val="22"/>
                <w:szCs w:val="22"/>
              </w:rPr>
              <w:t>analyse</w:t>
            </w:r>
            <w:proofErr w:type="spellEnd"/>
            <w:r w:rsidRPr="15E062FD" w:rsidR="00C24E8B">
              <w:rPr>
                <w:sz w:val="22"/>
                <w:szCs w:val="22"/>
              </w:rPr>
              <w:t xml:space="preserve"> and evaluate bio-inks such as hydrogels. In addition, </w:t>
            </w:r>
            <w:r w:rsidRPr="15E062FD" w:rsidR="00C24E8B">
              <w:rPr>
                <w:sz w:val="22"/>
                <w:szCs w:val="22"/>
              </w:rPr>
              <w:t>this article particularly concentrates on specific applications of different hydrogels, which will help me to compare bio-inks on specific applications and provides data that can be used to do my comparison.</w:t>
            </w:r>
            <w:r w:rsidRPr="15E062FD" w:rsidR="00C24E8B">
              <w:rPr>
                <w:sz w:val="22"/>
                <w:szCs w:val="22"/>
              </w:rPr>
              <w:t xml:space="preserve"> This paper is very recent, written in 2017, so it gives the most up-to-date and accurate research on this field.</w:t>
            </w:r>
          </w:p>
        </w:tc>
      </w:tr>
    </w:tbl>
    <w:p w:rsidR="00C24E8B" w:rsidP="00C24E8B" w:rsidRDefault="00C24E8B" w14:paraId="4B5186A0" w14:textId="1AF44180" w14:noSpellErr="1">
      <w:pPr>
        <w:rPr>
          <w:sz w:val="22"/>
          <w:szCs w:val="22"/>
        </w:rPr>
      </w:pPr>
    </w:p>
    <w:tbl>
      <w:tblPr>
        <w:tblStyle w:val="TableGrid"/>
        <w:tblW w:w="0" w:type="auto"/>
        <w:tblLook w:val="04A0" w:firstRow="1" w:lastRow="0" w:firstColumn="1" w:lastColumn="0" w:noHBand="0" w:noVBand="1"/>
      </w:tblPr>
      <w:tblGrid>
        <w:gridCol w:w="9889"/>
      </w:tblGrid>
      <w:tr w:rsidRPr="00C24E8B" w:rsidR="00C24E8B" w:rsidTr="15E062FD" w14:paraId="48953C2C" w14:textId="77777777">
        <w:trPr>
          <w:cnfStyle w:val="100000000000" w:firstRow="1" w:lastRow="0" w:firstColumn="0" w:lastColumn="0" w:oddVBand="0" w:evenVBand="0" w:oddHBand="0" w:evenHBand="0" w:firstRowFirstColumn="0" w:firstRowLastColumn="0" w:lastRowFirstColumn="0" w:lastRowLastColumn="0"/>
          <w:trHeight w:val="639"/>
        </w:trPr>
        <w:tc>
          <w:tcPr>
            <w:cnfStyle w:val="000000000000" w:firstRow="0" w:lastRow="0" w:firstColumn="0" w:lastColumn="0" w:oddVBand="0" w:evenVBand="0" w:oddHBand="0" w:evenHBand="0" w:firstRowFirstColumn="0" w:firstRowLastColumn="0" w:lastRowFirstColumn="0" w:lastRowLastColumn="0"/>
            <w:tcW w:w="9889" w:type="dxa"/>
            <w:shd w:val="clear" w:color="auto" w:fill="D9D9D9" w:themeFill="background1" w:themeFillShade="D9"/>
            <w:tcMar/>
          </w:tcPr>
          <w:p w:rsidRPr="00C24E8B" w:rsidR="00C24E8B" w:rsidP="005D07CD" w:rsidRDefault="00C24E8B" w14:paraId="3018F5AA" w14:textId="77777777">
            <w:pPr>
              <w:spacing w:line="360" w:lineRule="auto"/>
              <w:rPr>
                <w:sz w:val="22"/>
                <w:szCs w:val="22"/>
              </w:rPr>
            </w:pPr>
            <w:r w:rsidRPr="15E062FD" w:rsidR="00C24E8B">
              <w:rPr>
                <w:sz w:val="22"/>
                <w:szCs w:val="22"/>
              </w:rPr>
              <w:t xml:space="preserve">Stanton, M. </w:t>
            </w:r>
            <w:proofErr w:type="spellStart"/>
            <w:r w:rsidRPr="15E062FD" w:rsidR="00C24E8B">
              <w:rPr>
                <w:sz w:val="22"/>
                <w:szCs w:val="22"/>
              </w:rPr>
              <w:t>Samitier</w:t>
            </w:r>
            <w:proofErr w:type="spellEnd"/>
            <w:r w:rsidRPr="15E062FD" w:rsidR="00C24E8B">
              <w:rPr>
                <w:sz w:val="22"/>
                <w:szCs w:val="22"/>
              </w:rPr>
              <w:t xml:space="preserve">, J. and Sanchez, S. (2015). Bioprinting of 3D hydrogels. </w:t>
            </w:r>
            <w:r w:rsidRPr="15E062FD" w:rsidR="00C24E8B">
              <w:rPr>
                <w:i w:val="1"/>
                <w:iCs w:val="1"/>
                <w:sz w:val="22"/>
                <w:szCs w:val="22"/>
              </w:rPr>
              <w:t>Lab on a Chip</w:t>
            </w:r>
            <w:r w:rsidRPr="15E062FD" w:rsidR="00C24E8B">
              <w:rPr>
                <w:sz w:val="22"/>
                <w:szCs w:val="22"/>
              </w:rPr>
              <w:t>, (15), 3111-3115.</w:t>
            </w:r>
          </w:p>
        </w:tc>
      </w:tr>
      <w:tr w:rsidRPr="00C24E8B" w:rsidR="00C24E8B" w:rsidTr="15E062FD" w14:paraId="3E15AC51" w14:textId="77777777">
        <w:trPr>
          <w:trHeight w:val="5159"/>
        </w:trPr>
        <w:tc>
          <w:tcPr>
            <w:cnfStyle w:val="000000000000" w:firstRow="0" w:lastRow="0" w:firstColumn="0" w:lastColumn="0" w:oddVBand="0" w:evenVBand="0" w:oddHBand="0" w:evenHBand="0" w:firstRowFirstColumn="0" w:firstRowLastColumn="0" w:lastRowFirstColumn="0" w:lastRowLastColumn="0"/>
            <w:tcW w:w="9889" w:type="dxa"/>
            <w:tcMar/>
          </w:tcPr>
          <w:p w:rsidR="00C24E8B" w:rsidP="005D07CD" w:rsidRDefault="00C24E8B" w14:paraId="20322D6B" w14:textId="77777777" w14:noSpellErr="1">
            <w:pPr>
              <w:spacing w:line="360" w:lineRule="auto"/>
              <w:jc w:val="both"/>
              <w:rPr>
                <w:sz w:val="22"/>
                <w:szCs w:val="22"/>
              </w:rPr>
            </w:pPr>
            <w:r w:rsidRPr="15E062FD" w:rsidR="00C24E8B">
              <w:rPr>
                <w:sz w:val="22"/>
                <w:szCs w:val="22"/>
              </w:rPr>
              <w:t>An effective and feasible method has been put forward in this article is to utilize</w:t>
            </w:r>
            <w:r w:rsidRPr="15E062FD" w:rsidR="00C24E8B">
              <w:rPr>
                <w:sz w:val="22"/>
                <w:szCs w:val="22"/>
              </w:rPr>
              <w:t xml:space="preserve"> hydrogels as 3d scaffolds. T</w:t>
            </w:r>
            <w:r w:rsidRPr="15E062FD" w:rsidR="00C24E8B">
              <w:rPr>
                <w:sz w:val="22"/>
                <w:szCs w:val="22"/>
              </w:rPr>
              <w:t>his article introduces and explores</w:t>
            </w:r>
            <w:r w:rsidRPr="15E062FD" w:rsidR="00C24E8B">
              <w:rPr>
                <w:sz w:val="22"/>
                <w:szCs w:val="22"/>
              </w:rPr>
              <w:t xml:space="preserve"> hydrogels in two aspects of both bio-inks and hydrogel scaffolds, and then indicates that hydrogels have positive impacts on cell culture. It is said that this technology works through using biocompatible or cellular components to establish structures in an additive, layer-by-layer methodology for encapsulation and culture of cells. Moreover, due to the precise and feasible materials and approaches are supplied in this paper, the consequence from this article tends to be ample reliability.</w:t>
            </w:r>
          </w:p>
          <w:p w:rsidRPr="00C24E8B" w:rsidR="00C24E8B" w:rsidP="005D07CD" w:rsidRDefault="00C24E8B" w14:paraId="400515A6" w14:textId="77777777" w14:noSpellErr="1">
            <w:pPr>
              <w:spacing w:line="360" w:lineRule="auto"/>
              <w:jc w:val="both"/>
              <w:rPr>
                <w:sz w:val="22"/>
                <w:szCs w:val="22"/>
              </w:rPr>
            </w:pPr>
          </w:p>
          <w:p w:rsidRPr="00C24E8B" w:rsidR="00C24E8B" w:rsidP="005D07CD" w:rsidRDefault="00C24E8B" w14:paraId="1E1C487D" w14:textId="77777777">
            <w:pPr>
              <w:spacing w:line="360" w:lineRule="auto"/>
              <w:jc w:val="both"/>
              <w:rPr>
                <w:sz w:val="22"/>
                <w:szCs w:val="22"/>
              </w:rPr>
            </w:pPr>
            <w:r w:rsidRPr="15E062FD" w:rsidR="00C24E8B">
              <w:rPr>
                <w:sz w:val="22"/>
                <w:szCs w:val="22"/>
              </w:rPr>
              <w:t xml:space="preserve">Bio-ink and hydrogel scaffolds supply artificial three-dimensional environments which are </w:t>
            </w:r>
            <w:proofErr w:type="gramStart"/>
            <w:r w:rsidRPr="15E062FD" w:rsidR="00C24E8B">
              <w:rPr>
                <w:sz w:val="22"/>
                <w:szCs w:val="22"/>
              </w:rPr>
              <w:t>similar to</w:t>
            </w:r>
            <w:proofErr w:type="gramEnd"/>
            <w:r w:rsidRPr="15E062FD" w:rsidR="00C24E8B">
              <w:rPr>
                <w:sz w:val="22"/>
                <w:szCs w:val="22"/>
              </w:rPr>
              <w:t xml:space="preserve"> internal tissue.</w:t>
            </w:r>
            <w:r w:rsidRPr="15E062FD" w:rsidR="00C24E8B">
              <w:rPr>
                <w:sz w:val="22"/>
                <w:szCs w:val="22"/>
              </w:rPr>
              <w:t xml:space="preserve"> Therefore, these can be alternative biomaterials. The article is written in 2015, which intends to introduce and explore a new biomaterial and offers some data and specific applications about hydrogels. In this article, it mainly focuses on hydrogels, helping me to compare hydrogels with other bio-inks such as microcarriers and is amply relevant and worthy to be a component in my findings and discussions. </w:t>
            </w:r>
          </w:p>
        </w:tc>
      </w:tr>
    </w:tbl>
    <w:p w:rsidRPr="00C24E8B" w:rsidR="00C24E8B" w:rsidP="00C24E8B" w:rsidRDefault="00C24E8B" w14:paraId="27818D5D" w14:textId="77777777">
      <w:pPr>
        <w:rPr>
          <w:sz w:val="22"/>
          <w:szCs w:val="22"/>
        </w:rPr>
      </w:pPr>
    </w:p>
    <w:p w:rsidRPr="00C24E8B" w:rsidR="00C24E8B" w:rsidP="00C24E8B" w:rsidRDefault="00C24E8B" w14:paraId="11A68CE8" w14:textId="77777777">
      <w:pPr>
        <w:rPr>
          <w:sz w:val="22"/>
          <w:szCs w:val="22"/>
        </w:rPr>
      </w:pPr>
    </w:p>
    <w:tbl>
      <w:tblPr>
        <w:tblStyle w:val="TableGrid"/>
        <w:tblW w:w="0" w:type="auto"/>
        <w:tblLook w:val="04A0" w:firstRow="1" w:lastRow="0" w:firstColumn="1" w:lastColumn="0" w:noHBand="0" w:noVBand="1"/>
      </w:tblPr>
      <w:tblGrid>
        <w:gridCol w:w="9889"/>
      </w:tblGrid>
      <w:tr w:rsidRPr="00C24E8B" w:rsidR="00C24E8B" w:rsidTr="15E062FD" w14:paraId="58117B07" w14:textId="77777777">
        <w:trPr>
          <w:cnfStyle w:val="100000000000" w:firstRow="1" w:lastRow="0" w:firstColumn="0" w:lastColumn="0" w:oddVBand="0" w:evenVBand="0" w:oddHBand="0" w:evenHBand="0" w:firstRowFirstColumn="0" w:firstRowLastColumn="0" w:lastRowFirstColumn="0" w:lastRowLastColumn="0"/>
          <w:trHeight w:val="1077"/>
        </w:trPr>
        <w:tc>
          <w:tcPr>
            <w:cnfStyle w:val="000000000000" w:firstRow="0" w:lastRow="0" w:firstColumn="0" w:lastColumn="0" w:oddVBand="0" w:evenVBand="0" w:oddHBand="0" w:evenHBand="0" w:firstRowFirstColumn="0" w:firstRowLastColumn="0" w:lastRowFirstColumn="0" w:lastRowLastColumn="0"/>
            <w:tcW w:w="9889" w:type="dxa"/>
            <w:tcMar/>
          </w:tcPr>
          <w:p w:rsidRPr="00C24E8B" w:rsidR="00C24E8B" w:rsidP="005D07CD" w:rsidRDefault="00C24E8B" w14:paraId="4DF556D8" w14:textId="77777777">
            <w:pPr>
              <w:spacing w:line="360" w:lineRule="auto"/>
              <w:rPr>
                <w:sz w:val="22"/>
                <w:szCs w:val="22"/>
              </w:rPr>
            </w:pPr>
            <w:r w:rsidRPr="00C24E8B">
              <w:rPr>
                <w:sz w:val="22"/>
                <w:szCs w:val="22"/>
              </w:rPr>
              <w:t xml:space="preserve">Li, J. Chen, M. Fan, X. and Zhou, H. (2016). Recent advances in bioprinting techniques: approaches, applications and </w:t>
            </w:r>
            <w:proofErr w:type="gramStart"/>
            <w:r w:rsidRPr="00C24E8B">
              <w:rPr>
                <w:sz w:val="22"/>
                <w:szCs w:val="22"/>
              </w:rPr>
              <w:t>future prospects</w:t>
            </w:r>
            <w:proofErr w:type="gramEnd"/>
            <w:r w:rsidRPr="00C24E8B">
              <w:rPr>
                <w:sz w:val="22"/>
                <w:szCs w:val="22"/>
              </w:rPr>
              <w:t xml:space="preserve">, </w:t>
            </w:r>
            <w:r w:rsidRPr="00C24E8B">
              <w:rPr>
                <w:i/>
                <w:sz w:val="22"/>
                <w:szCs w:val="22"/>
              </w:rPr>
              <w:t>Journal of Translational Medicine</w:t>
            </w:r>
            <w:r w:rsidRPr="00C24E8B">
              <w:rPr>
                <w:sz w:val="22"/>
                <w:szCs w:val="22"/>
              </w:rPr>
              <w:t>, 14(1), 271.</w:t>
            </w:r>
          </w:p>
        </w:tc>
      </w:tr>
      <w:tr w:rsidRPr="00C24E8B" w:rsidR="00C24E8B" w:rsidTr="15E062FD" w14:paraId="0244F740" w14:textId="77777777">
        <w:trPr>
          <w:trHeight w:val="6180"/>
        </w:trPr>
        <w:tc>
          <w:tcPr>
            <w:cnfStyle w:val="000000000000" w:firstRow="0" w:lastRow="0" w:firstColumn="0" w:lastColumn="0" w:oddVBand="0" w:evenVBand="0" w:oddHBand="0" w:evenHBand="0" w:firstRowFirstColumn="0" w:firstRowLastColumn="0" w:lastRowFirstColumn="0" w:lastRowLastColumn="0"/>
            <w:tcW w:w="9889" w:type="dxa"/>
            <w:tcMar/>
          </w:tcPr>
          <w:p w:rsidR="00C24E8B" w:rsidP="005D07CD" w:rsidRDefault="00C24E8B" w14:paraId="39D6FFEB" w14:textId="7D3A6E8D">
            <w:pPr>
              <w:spacing w:line="360" w:lineRule="auto"/>
              <w:jc w:val="both"/>
              <w:rPr>
                <w:sz w:val="22"/>
                <w:szCs w:val="22"/>
              </w:rPr>
            </w:pPr>
            <w:r w:rsidRPr="00C24E8B">
              <w:rPr>
                <w:sz w:val="22"/>
                <w:szCs w:val="22"/>
              </w:rPr>
              <w:t xml:space="preserve">Certain advances in bioprinting techniques are mentioned in this article. Three main approaches of bioprinting are pressure-assisted bioprinting, inkjet-based and laser-assisted bioprinting. Also, it provides key points of bioprinting and evaluates specific applications and limitations of biomaterials including bio-inks, cell factors and cells on aspects of biocompatibility, porosity, interconnectivity and mechanical properties. This technology aims to fabricate 3D organs and tissues composed of a microenvironment and cells which imitate the real environment of human’s bodies. In addition, this article specifically focuses on advanced applications of bio-printed tissues and organs. Due to good resolution of the input cells, precisely printing organs has been greatly advanced. Likewise, it has strengths in precise control, individual design and repeatability, but some challenges </w:t>
            </w:r>
            <w:proofErr w:type="gramStart"/>
            <w:r w:rsidRPr="00C24E8B">
              <w:rPr>
                <w:sz w:val="22"/>
                <w:szCs w:val="22"/>
              </w:rPr>
              <w:t>still persist</w:t>
            </w:r>
            <w:proofErr w:type="gramEnd"/>
            <w:r w:rsidRPr="00C24E8B">
              <w:rPr>
                <w:sz w:val="22"/>
                <w:szCs w:val="22"/>
              </w:rPr>
              <w:t xml:space="preserve"> in building complex tissues.</w:t>
            </w:r>
          </w:p>
          <w:p w:rsidRPr="00C24E8B" w:rsidR="00C24E8B" w:rsidP="005D07CD" w:rsidRDefault="00C24E8B" w14:paraId="4AD8C431" w14:textId="77777777">
            <w:pPr>
              <w:spacing w:line="360" w:lineRule="auto"/>
              <w:jc w:val="both"/>
              <w:rPr>
                <w:sz w:val="22"/>
                <w:szCs w:val="22"/>
              </w:rPr>
            </w:pPr>
          </w:p>
          <w:p w:rsidRPr="00C24E8B" w:rsidR="00C24E8B" w:rsidP="005D07CD" w:rsidRDefault="00C24E8B" w14:paraId="0824AE72" w14:textId="77777777" w14:noSpellErr="1">
            <w:pPr>
              <w:spacing w:line="360" w:lineRule="auto"/>
              <w:jc w:val="both"/>
              <w:rPr>
                <w:sz w:val="22"/>
                <w:szCs w:val="22"/>
              </w:rPr>
            </w:pPr>
            <w:r w:rsidRPr="15E062FD" w:rsidR="00C24E8B">
              <w:rPr>
                <w:sz w:val="22"/>
                <w:szCs w:val="22"/>
              </w:rPr>
              <w:t>Comparing with other sources I have</w:t>
            </w:r>
            <w:r w:rsidRPr="15E062FD" w:rsidR="00C24E8B">
              <w:rPr>
                <w:sz w:val="22"/>
                <w:szCs w:val="22"/>
              </w:rPr>
              <w:t xml:space="preserve"> u</w:t>
            </w:r>
            <w:r w:rsidRPr="15E062FD" w:rsidR="00C24E8B">
              <w:rPr>
                <w:sz w:val="22"/>
                <w:szCs w:val="22"/>
              </w:rPr>
              <w:t>sed, this one not only discusses and evaluates technologies of bioprinting and biomaterials, but also divides bio-inks into separate categories based on their biocompatibility, porosity and mechanical properties. It mentions perspectives that other sources have not mentioned and is written in 2016. Therefore, I am going to gather information to compare bio-inks from different perspectives mentioned here in my discussion.</w:t>
            </w:r>
          </w:p>
        </w:tc>
      </w:tr>
    </w:tbl>
    <w:p w:rsidR="00C24E8B" w:rsidP="00C24E8B" w:rsidRDefault="00C24E8B" w14:paraId="7B442E1C" w14:textId="3A66F3D2">
      <w:pPr>
        <w:pBdr>
          <w:bottom w:val="single" w:color="auto" w:sz="4" w:space="1"/>
        </w:pBdr>
        <w:rPr>
          <w:sz w:val="28"/>
          <w:szCs w:val="28"/>
        </w:rPr>
      </w:pPr>
      <w:r w:rsidRPr="00C24E8B">
        <w:rPr>
          <w:sz w:val="28"/>
          <w:szCs w:val="28"/>
        </w:rPr>
        <w:lastRenderedPageBreak/>
        <w:t>Working Bibliography</w:t>
      </w:r>
    </w:p>
    <w:p w:rsidR="00C24E8B" w:rsidP="00C24E8B" w:rsidRDefault="00C24E8B" w14:paraId="31418A64" w14:textId="4828F1CA">
      <w:pPr>
        <w:rPr>
          <w:sz w:val="28"/>
          <w:szCs w:val="28"/>
        </w:rPr>
      </w:pPr>
    </w:p>
    <w:p w:rsidR="00C24E8B" w:rsidP="00C24E8B" w:rsidRDefault="00C24E8B" w14:paraId="65D0B42A" w14:textId="129C8AAC">
      <w:pPr>
        <w:rPr>
          <w:sz w:val="28"/>
          <w:szCs w:val="28"/>
        </w:rPr>
      </w:pPr>
    </w:p>
    <w:p w:rsidRPr="00C24E8B" w:rsidR="00C24E8B" w:rsidP="00C24E8B" w:rsidRDefault="00C24E8B" w14:paraId="1A80B30A" w14:textId="6679EEF9">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Bandyopadhyay, A. Bose, S. and Das, S. (2015). 3D printing of biomaterials, </w:t>
      </w:r>
      <w:r w:rsidRPr="00C24E8B">
        <w:rPr>
          <w:rFonts w:ascii="Arial" w:hAnsi="Arial" w:cs="Arial"/>
          <w:i/>
        </w:rPr>
        <w:t>MRS Bulletin</w:t>
      </w:r>
      <w:r w:rsidRPr="00C24E8B">
        <w:rPr>
          <w:rFonts w:ascii="Arial" w:hAnsi="Arial" w:cs="Arial"/>
        </w:rPr>
        <w:t>, 40(2), 108-115.</w:t>
      </w:r>
    </w:p>
    <w:p w:rsidRPr="00C24E8B" w:rsidR="00C24E8B" w:rsidP="00C24E8B" w:rsidRDefault="00C24E8B" w14:paraId="6ED1C3BC" w14:textId="7133017B">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Chia, H. and Wu, B. (2015). Recent advances in 3D printing of biomaterials, </w:t>
      </w:r>
      <w:r w:rsidRPr="00C24E8B">
        <w:rPr>
          <w:rFonts w:ascii="Arial" w:hAnsi="Arial" w:cs="Arial"/>
          <w:i/>
        </w:rPr>
        <w:t>Journal of Biological Engineering</w:t>
      </w:r>
      <w:r w:rsidRPr="00C24E8B">
        <w:rPr>
          <w:rFonts w:ascii="Arial" w:hAnsi="Arial" w:cs="Arial"/>
        </w:rPr>
        <w:t>, 9(1), 4.</w:t>
      </w:r>
    </w:p>
    <w:p w:rsidRPr="00C24E8B" w:rsidR="00C24E8B" w:rsidP="00C24E8B" w:rsidRDefault="00C24E8B" w14:paraId="4CCCBB1A" w14:textId="6532B22E">
      <w:pPr>
        <w:pStyle w:val="ListParagraph"/>
        <w:numPr>
          <w:ilvl w:val="0"/>
          <w:numId w:val="7"/>
        </w:numPr>
        <w:spacing w:after="120"/>
        <w:ind w:left="357" w:hanging="357"/>
        <w:contextualSpacing w:val="0"/>
        <w:rPr>
          <w:rFonts w:ascii="Arial" w:hAnsi="Arial" w:cs="Arial"/>
          <w:sz w:val="28"/>
          <w:szCs w:val="28"/>
        </w:rPr>
      </w:pPr>
      <w:r w:rsidRPr="00C24E8B">
        <w:rPr>
          <w:rFonts w:ascii="Arial" w:hAnsi="Arial" w:cs="Arial"/>
        </w:rPr>
        <w:t xml:space="preserve">Chimene, D. Lennox, K. Kaunas, R. and </w:t>
      </w:r>
      <w:proofErr w:type="spellStart"/>
      <w:r w:rsidRPr="00C24E8B">
        <w:rPr>
          <w:rFonts w:ascii="Arial" w:hAnsi="Arial" w:cs="Arial"/>
        </w:rPr>
        <w:t>Gaharwar</w:t>
      </w:r>
      <w:proofErr w:type="spellEnd"/>
      <w:r w:rsidRPr="00C24E8B">
        <w:rPr>
          <w:rFonts w:ascii="Arial" w:hAnsi="Arial" w:cs="Arial"/>
        </w:rPr>
        <w:t xml:space="preserve">, A. (2016). Advanced </w:t>
      </w:r>
      <w:proofErr w:type="spellStart"/>
      <w:r w:rsidRPr="00C24E8B">
        <w:rPr>
          <w:rFonts w:ascii="Arial" w:hAnsi="Arial" w:cs="Arial"/>
        </w:rPr>
        <w:t>Bioinks</w:t>
      </w:r>
      <w:proofErr w:type="spellEnd"/>
      <w:r w:rsidRPr="00C24E8B">
        <w:rPr>
          <w:rFonts w:ascii="Arial" w:hAnsi="Arial" w:cs="Arial"/>
        </w:rPr>
        <w:t xml:space="preserve"> for 3D Printing: A Materials Science Perspective, </w:t>
      </w:r>
      <w:r w:rsidRPr="00C24E8B">
        <w:rPr>
          <w:rFonts w:ascii="Arial" w:hAnsi="Arial" w:cs="Arial"/>
          <w:i/>
        </w:rPr>
        <w:t>Annals of Biomedical Engineering</w:t>
      </w:r>
      <w:r w:rsidRPr="00C24E8B">
        <w:rPr>
          <w:rFonts w:ascii="Arial" w:hAnsi="Arial" w:cs="Arial"/>
        </w:rPr>
        <w:t>, 44(6), 2090-2102.</w:t>
      </w:r>
    </w:p>
    <w:p w:rsidRPr="00C24E8B" w:rsidR="00C24E8B" w:rsidP="00C24E8B" w:rsidRDefault="00C24E8B" w14:paraId="6F350558" w14:textId="373A85C5">
      <w:pPr>
        <w:pStyle w:val="ListParagraph"/>
        <w:numPr>
          <w:ilvl w:val="0"/>
          <w:numId w:val="7"/>
        </w:numPr>
        <w:spacing w:after="120"/>
        <w:ind w:left="357" w:hanging="357"/>
        <w:contextualSpacing w:val="0"/>
        <w:rPr>
          <w:rFonts w:ascii="Arial" w:hAnsi="Arial" w:cs="Arial"/>
        </w:rPr>
      </w:pPr>
      <w:proofErr w:type="spellStart"/>
      <w:r w:rsidRPr="00C24E8B">
        <w:rPr>
          <w:rFonts w:ascii="Arial" w:hAnsi="Arial" w:cs="Arial"/>
        </w:rPr>
        <w:t>Donderwinkel</w:t>
      </w:r>
      <w:proofErr w:type="spellEnd"/>
      <w:r w:rsidRPr="00C24E8B">
        <w:rPr>
          <w:rFonts w:ascii="Arial" w:hAnsi="Arial" w:cs="Arial"/>
        </w:rPr>
        <w:t xml:space="preserve">, I. </w:t>
      </w:r>
      <w:proofErr w:type="spellStart"/>
      <w:r w:rsidRPr="00C24E8B">
        <w:rPr>
          <w:rFonts w:ascii="Arial" w:hAnsi="Arial" w:cs="Arial"/>
        </w:rPr>
        <w:t>Hest</w:t>
      </w:r>
      <w:proofErr w:type="spellEnd"/>
      <w:r w:rsidRPr="00C24E8B">
        <w:rPr>
          <w:rFonts w:ascii="Arial" w:hAnsi="Arial" w:cs="Arial"/>
        </w:rPr>
        <w:t xml:space="preserve">, J. and Cameron, N. (2017). Bio-inks for 3D bioprinting: recent advances and </w:t>
      </w:r>
      <w:proofErr w:type="gramStart"/>
      <w:r w:rsidRPr="00C24E8B">
        <w:rPr>
          <w:rFonts w:ascii="Arial" w:hAnsi="Arial" w:cs="Arial"/>
        </w:rPr>
        <w:t>future prospects</w:t>
      </w:r>
      <w:proofErr w:type="gramEnd"/>
      <w:r w:rsidRPr="00C24E8B">
        <w:rPr>
          <w:rFonts w:ascii="Arial" w:hAnsi="Arial" w:cs="Arial"/>
        </w:rPr>
        <w:t xml:space="preserve">, </w:t>
      </w:r>
      <w:proofErr w:type="spellStart"/>
      <w:r w:rsidRPr="00C24E8B">
        <w:rPr>
          <w:rFonts w:ascii="Arial" w:hAnsi="Arial" w:cs="Arial"/>
          <w:i/>
        </w:rPr>
        <w:t>Polym</w:t>
      </w:r>
      <w:proofErr w:type="spellEnd"/>
      <w:r w:rsidRPr="00C24E8B">
        <w:rPr>
          <w:rFonts w:ascii="Arial" w:hAnsi="Arial" w:cs="Arial"/>
          <w:i/>
        </w:rPr>
        <w:t>. Chem.</w:t>
      </w:r>
      <w:r w:rsidRPr="00C24E8B">
        <w:rPr>
          <w:rFonts w:ascii="Arial" w:hAnsi="Arial" w:cs="Arial"/>
        </w:rPr>
        <w:t>,</w:t>
      </w:r>
      <w:r w:rsidRPr="00C24E8B">
        <w:rPr>
          <w:rFonts w:ascii="Arial" w:hAnsi="Arial" w:cs="Arial"/>
          <w:i/>
        </w:rPr>
        <w:t xml:space="preserve"> </w:t>
      </w:r>
      <w:r w:rsidRPr="00C24E8B">
        <w:rPr>
          <w:rFonts w:ascii="Arial" w:hAnsi="Arial" w:cs="Arial"/>
        </w:rPr>
        <w:t>8(31), 4451-4471.</w:t>
      </w:r>
    </w:p>
    <w:p w:rsidRPr="00C24E8B" w:rsidR="00C24E8B" w:rsidP="00C24E8B" w:rsidRDefault="00C24E8B" w14:paraId="5B2A98CD" w14:textId="564951C2">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Fahmy, M. </w:t>
      </w:r>
      <w:proofErr w:type="spellStart"/>
      <w:r w:rsidRPr="00C24E8B">
        <w:rPr>
          <w:rFonts w:ascii="Arial" w:hAnsi="Arial" w:cs="Arial"/>
        </w:rPr>
        <w:t>Jazayeri</w:t>
      </w:r>
      <w:proofErr w:type="spellEnd"/>
      <w:r w:rsidRPr="00C24E8B">
        <w:rPr>
          <w:rFonts w:ascii="Arial" w:hAnsi="Arial" w:cs="Arial"/>
        </w:rPr>
        <w:t xml:space="preserve">, H. </w:t>
      </w:r>
      <w:proofErr w:type="spellStart"/>
      <w:r w:rsidRPr="00C24E8B">
        <w:rPr>
          <w:rFonts w:ascii="Arial" w:hAnsi="Arial" w:cs="Arial"/>
        </w:rPr>
        <w:t>Razavi</w:t>
      </w:r>
      <w:proofErr w:type="spellEnd"/>
      <w:r w:rsidRPr="00C24E8B">
        <w:rPr>
          <w:rFonts w:ascii="Arial" w:hAnsi="Arial" w:cs="Arial"/>
        </w:rPr>
        <w:t xml:space="preserve">, M. </w:t>
      </w:r>
      <w:proofErr w:type="spellStart"/>
      <w:r w:rsidRPr="00C24E8B">
        <w:rPr>
          <w:rFonts w:ascii="Arial" w:hAnsi="Arial" w:cs="Arial"/>
        </w:rPr>
        <w:t>Masri</w:t>
      </w:r>
      <w:proofErr w:type="spellEnd"/>
      <w:r w:rsidRPr="00C24E8B">
        <w:rPr>
          <w:rFonts w:ascii="Arial" w:hAnsi="Arial" w:cs="Arial"/>
        </w:rPr>
        <w:t xml:space="preserve">, R. and Tayebi, L. (2016). Three-Dimensional Bioprinting Materials with Potential Application in </w:t>
      </w:r>
      <w:proofErr w:type="spellStart"/>
      <w:r w:rsidRPr="00C24E8B">
        <w:rPr>
          <w:rFonts w:ascii="Arial" w:hAnsi="Arial" w:cs="Arial"/>
        </w:rPr>
        <w:t>Preprosthetic</w:t>
      </w:r>
      <w:proofErr w:type="spellEnd"/>
      <w:r w:rsidRPr="00C24E8B">
        <w:rPr>
          <w:rFonts w:ascii="Arial" w:hAnsi="Arial" w:cs="Arial"/>
        </w:rPr>
        <w:t xml:space="preserve"> Surgery, </w:t>
      </w:r>
      <w:r w:rsidRPr="00C24E8B">
        <w:rPr>
          <w:rFonts w:ascii="Arial" w:hAnsi="Arial" w:cs="Arial"/>
          <w:i/>
        </w:rPr>
        <w:t>Journal of Prosthodontics</w:t>
      </w:r>
      <w:r w:rsidRPr="00C24E8B">
        <w:rPr>
          <w:rFonts w:ascii="Arial" w:hAnsi="Arial" w:cs="Arial"/>
        </w:rPr>
        <w:t>, 25(4), 310-318.</w:t>
      </w:r>
    </w:p>
    <w:p w:rsidRPr="00C24E8B" w:rsidR="00C24E8B" w:rsidP="00C24E8B" w:rsidRDefault="00C24E8B" w14:paraId="55D251BF" w14:textId="021D87BC">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Feinberg, A. and Miller, J. (2017). Progress in three-dimensional bioprinting, </w:t>
      </w:r>
      <w:r w:rsidRPr="00C24E8B">
        <w:rPr>
          <w:rFonts w:ascii="Arial" w:hAnsi="Arial" w:cs="Arial"/>
          <w:i/>
        </w:rPr>
        <w:t xml:space="preserve">MRS Bulletin, </w:t>
      </w:r>
      <w:r w:rsidRPr="00C24E8B">
        <w:rPr>
          <w:rFonts w:ascii="Arial" w:hAnsi="Arial" w:cs="Arial"/>
        </w:rPr>
        <w:t>42(8), 557-562.</w:t>
      </w:r>
    </w:p>
    <w:p w:rsidRPr="00C24E8B" w:rsidR="00C24E8B" w:rsidP="00C24E8B" w:rsidRDefault="00C24E8B" w14:paraId="41ECEAB3" w14:textId="66CCA1A7">
      <w:pPr>
        <w:pStyle w:val="ListParagraph"/>
        <w:numPr>
          <w:ilvl w:val="0"/>
          <w:numId w:val="7"/>
        </w:numPr>
        <w:spacing w:after="120"/>
        <w:ind w:left="357" w:hanging="357"/>
        <w:contextualSpacing w:val="0"/>
        <w:rPr>
          <w:rFonts w:ascii="Arial" w:hAnsi="Arial" w:cs="Arial"/>
        </w:rPr>
      </w:pPr>
      <w:proofErr w:type="spellStart"/>
      <w:r w:rsidRPr="00C24E8B">
        <w:rPr>
          <w:rFonts w:ascii="Arial" w:hAnsi="Arial" w:cs="Arial"/>
        </w:rPr>
        <w:t>Hospodiuk</w:t>
      </w:r>
      <w:proofErr w:type="spellEnd"/>
      <w:r w:rsidRPr="00C24E8B">
        <w:rPr>
          <w:rFonts w:ascii="Arial" w:hAnsi="Arial" w:cs="Arial"/>
        </w:rPr>
        <w:t xml:space="preserve">, M. Dey, M. </w:t>
      </w:r>
      <w:proofErr w:type="spellStart"/>
      <w:r w:rsidRPr="00C24E8B">
        <w:rPr>
          <w:rFonts w:ascii="Arial" w:hAnsi="Arial" w:cs="Arial"/>
        </w:rPr>
        <w:t>Sosnoski</w:t>
      </w:r>
      <w:proofErr w:type="spellEnd"/>
      <w:r w:rsidRPr="00C24E8B">
        <w:rPr>
          <w:rFonts w:ascii="Arial" w:hAnsi="Arial" w:cs="Arial"/>
        </w:rPr>
        <w:t xml:space="preserve">, D. and </w:t>
      </w:r>
      <w:proofErr w:type="spellStart"/>
      <w:r w:rsidRPr="00C24E8B">
        <w:rPr>
          <w:rFonts w:ascii="Arial" w:hAnsi="Arial" w:cs="Arial"/>
        </w:rPr>
        <w:t>Ozbolat</w:t>
      </w:r>
      <w:proofErr w:type="spellEnd"/>
      <w:r w:rsidRPr="00C24E8B">
        <w:rPr>
          <w:rFonts w:ascii="Arial" w:hAnsi="Arial" w:cs="Arial"/>
        </w:rPr>
        <w:t xml:space="preserve">, I. (2017). The </w:t>
      </w:r>
      <w:proofErr w:type="spellStart"/>
      <w:r w:rsidRPr="00C24E8B">
        <w:rPr>
          <w:rFonts w:ascii="Arial" w:hAnsi="Arial" w:cs="Arial"/>
        </w:rPr>
        <w:t>bioink</w:t>
      </w:r>
      <w:proofErr w:type="spellEnd"/>
      <w:r w:rsidRPr="00C24E8B">
        <w:rPr>
          <w:rFonts w:ascii="Arial" w:hAnsi="Arial" w:cs="Arial"/>
        </w:rPr>
        <w:t xml:space="preserve">: A comprehensive review on </w:t>
      </w:r>
      <w:proofErr w:type="spellStart"/>
      <w:r w:rsidRPr="00C24E8B">
        <w:rPr>
          <w:rFonts w:ascii="Arial" w:hAnsi="Arial" w:cs="Arial"/>
        </w:rPr>
        <w:t>bioprintable</w:t>
      </w:r>
      <w:proofErr w:type="spellEnd"/>
      <w:r w:rsidRPr="00C24E8B">
        <w:rPr>
          <w:rFonts w:ascii="Arial" w:hAnsi="Arial" w:cs="Arial"/>
        </w:rPr>
        <w:t xml:space="preserve"> materials, </w:t>
      </w:r>
      <w:r w:rsidRPr="00C24E8B">
        <w:rPr>
          <w:rFonts w:ascii="Arial" w:hAnsi="Arial" w:cs="Arial"/>
          <w:i/>
        </w:rPr>
        <w:t>Biotechnology Advances</w:t>
      </w:r>
      <w:r w:rsidRPr="00C24E8B">
        <w:rPr>
          <w:rFonts w:ascii="Arial" w:hAnsi="Arial" w:cs="Arial"/>
        </w:rPr>
        <w:t>, 35(2), 217–239.</w:t>
      </w:r>
    </w:p>
    <w:p w:rsidRPr="00C24E8B" w:rsidR="00C24E8B" w:rsidP="00C24E8B" w:rsidRDefault="00C24E8B" w14:paraId="5362672C" w14:textId="59B38180">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Huang, J. Fu, H. Li, C. and Zhang, Z. (2017). Recent advances in cell-laden 3D bioprinting: materials, technologies and applications, </w:t>
      </w:r>
      <w:r w:rsidRPr="00C24E8B">
        <w:rPr>
          <w:rFonts w:ascii="Arial" w:hAnsi="Arial" w:cs="Arial"/>
          <w:i/>
        </w:rPr>
        <w:t>Journal of 3D Printing in Medicine</w:t>
      </w:r>
      <w:r w:rsidRPr="00C24E8B">
        <w:rPr>
          <w:rFonts w:ascii="Arial" w:hAnsi="Arial" w:cs="Arial"/>
        </w:rPr>
        <w:t>, 1(4), 245-268.</w:t>
      </w:r>
    </w:p>
    <w:p w:rsidRPr="00C24E8B" w:rsidR="00C24E8B" w:rsidP="00C24E8B" w:rsidRDefault="00C24E8B" w14:paraId="567BE723" w14:textId="2C33704E">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Li, J. Chen, M. Fan, X. and Zhou, H. (2016). Recent advances in bioprinting techniques: approaches, applications and </w:t>
      </w:r>
      <w:proofErr w:type="gramStart"/>
      <w:r w:rsidRPr="00C24E8B">
        <w:rPr>
          <w:rFonts w:ascii="Arial" w:hAnsi="Arial" w:cs="Arial"/>
        </w:rPr>
        <w:t>future prospects</w:t>
      </w:r>
      <w:proofErr w:type="gramEnd"/>
      <w:r w:rsidRPr="00C24E8B">
        <w:rPr>
          <w:rFonts w:ascii="Arial" w:hAnsi="Arial" w:cs="Arial"/>
        </w:rPr>
        <w:t xml:space="preserve">, </w:t>
      </w:r>
      <w:r w:rsidRPr="00C24E8B">
        <w:rPr>
          <w:rFonts w:ascii="Arial" w:hAnsi="Arial" w:cs="Arial"/>
          <w:i/>
        </w:rPr>
        <w:t>Journal of Translational Medicine</w:t>
      </w:r>
      <w:r w:rsidRPr="00C24E8B">
        <w:rPr>
          <w:rFonts w:ascii="Arial" w:hAnsi="Arial" w:cs="Arial"/>
        </w:rPr>
        <w:t>, 14(1), 271.</w:t>
      </w:r>
    </w:p>
    <w:p w:rsidRPr="00C24E8B" w:rsidR="00C24E8B" w:rsidP="00C24E8B" w:rsidRDefault="00C24E8B" w14:paraId="4C682173" w14:textId="48569D8A">
      <w:pPr>
        <w:pStyle w:val="ListParagraph"/>
        <w:numPr>
          <w:ilvl w:val="0"/>
          <w:numId w:val="7"/>
        </w:numPr>
        <w:spacing w:after="120"/>
        <w:ind w:left="357" w:hanging="357"/>
        <w:contextualSpacing w:val="0"/>
        <w:rPr>
          <w:rFonts w:ascii="Arial" w:hAnsi="Arial" w:cs="Arial"/>
        </w:rPr>
      </w:pPr>
      <w:proofErr w:type="spellStart"/>
      <w:r w:rsidRPr="00C24E8B">
        <w:rPr>
          <w:rFonts w:ascii="Arial" w:hAnsi="Arial" w:cs="Arial"/>
        </w:rPr>
        <w:t>Mandrycky</w:t>
      </w:r>
      <w:proofErr w:type="spellEnd"/>
      <w:r w:rsidRPr="00C24E8B">
        <w:rPr>
          <w:rFonts w:ascii="Arial" w:hAnsi="Arial" w:cs="Arial"/>
        </w:rPr>
        <w:t xml:space="preserve">, C. Wang, Z. Kim, K. and Kim, D. (2016). 3D bioprinting for engineering complex tissues, </w:t>
      </w:r>
      <w:r w:rsidRPr="00C24E8B">
        <w:rPr>
          <w:rFonts w:ascii="Arial" w:hAnsi="Arial" w:cs="Arial"/>
          <w:i/>
        </w:rPr>
        <w:t>Biotechnology Advances</w:t>
      </w:r>
      <w:r w:rsidRPr="00C24E8B">
        <w:rPr>
          <w:rFonts w:ascii="Arial" w:hAnsi="Arial" w:cs="Arial"/>
        </w:rPr>
        <w:t>, 34(4), 422-434.</w:t>
      </w:r>
    </w:p>
    <w:p w:rsidRPr="00C24E8B" w:rsidR="00C24E8B" w:rsidP="00C24E8B" w:rsidRDefault="00C24E8B" w14:paraId="3DE693AB" w14:textId="6EE67027">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Mitchell, M. (2017). </w:t>
      </w:r>
      <w:r w:rsidRPr="00C24E8B">
        <w:rPr>
          <w:rFonts w:ascii="Arial" w:hAnsi="Arial" w:cs="Arial"/>
          <w:i/>
        </w:rPr>
        <w:t xml:space="preserve">Bioprinting: Techniques and Risks for Regenerative Medicine. </w:t>
      </w:r>
      <w:r w:rsidRPr="00C24E8B">
        <w:rPr>
          <w:rFonts w:ascii="Arial" w:hAnsi="Arial" w:cs="Arial"/>
        </w:rPr>
        <w:t>Elsevier Inc.</w:t>
      </w:r>
    </w:p>
    <w:p w:rsidRPr="00C24E8B" w:rsidR="00C24E8B" w:rsidP="00C24E8B" w:rsidRDefault="00C24E8B" w14:paraId="19698620" w14:textId="4093E04D">
      <w:pPr>
        <w:pStyle w:val="ListParagraph"/>
        <w:numPr>
          <w:ilvl w:val="0"/>
          <w:numId w:val="7"/>
        </w:numPr>
        <w:spacing w:after="120"/>
        <w:ind w:left="357" w:hanging="357"/>
        <w:contextualSpacing w:val="0"/>
        <w:rPr>
          <w:rFonts w:ascii="Arial" w:hAnsi="Arial" w:cs="Arial"/>
        </w:rPr>
      </w:pPr>
      <w:proofErr w:type="spellStart"/>
      <w:r w:rsidRPr="00C24E8B">
        <w:rPr>
          <w:rFonts w:ascii="Arial" w:hAnsi="Arial" w:cs="Arial"/>
        </w:rPr>
        <w:t>Munaz</w:t>
      </w:r>
      <w:proofErr w:type="spellEnd"/>
      <w:r w:rsidRPr="00C24E8B">
        <w:rPr>
          <w:rFonts w:ascii="Arial" w:hAnsi="Arial" w:cs="Arial"/>
        </w:rPr>
        <w:t xml:space="preserve">, A. </w:t>
      </w:r>
      <w:proofErr w:type="spellStart"/>
      <w:r w:rsidRPr="00C24E8B">
        <w:rPr>
          <w:rFonts w:ascii="Arial" w:hAnsi="Arial" w:cs="Arial"/>
        </w:rPr>
        <w:t>Vadivelu</w:t>
      </w:r>
      <w:proofErr w:type="spellEnd"/>
      <w:r w:rsidRPr="00C24E8B">
        <w:rPr>
          <w:rFonts w:ascii="Arial" w:hAnsi="Arial" w:cs="Arial"/>
        </w:rPr>
        <w:t xml:space="preserve">, R. John, James. Barton, M. </w:t>
      </w:r>
      <w:proofErr w:type="spellStart"/>
      <w:r w:rsidRPr="00C24E8B">
        <w:rPr>
          <w:rFonts w:ascii="Arial" w:hAnsi="Arial" w:cs="Arial"/>
        </w:rPr>
        <w:t>Kamble</w:t>
      </w:r>
      <w:proofErr w:type="spellEnd"/>
      <w:r w:rsidRPr="00C24E8B">
        <w:rPr>
          <w:rFonts w:ascii="Arial" w:hAnsi="Arial" w:cs="Arial"/>
        </w:rPr>
        <w:t xml:space="preserve">, H. and Nguyen, N. (2016). Three-dimensional printing of biological matters, </w:t>
      </w:r>
      <w:r w:rsidRPr="00C24E8B">
        <w:rPr>
          <w:rFonts w:ascii="Arial" w:hAnsi="Arial" w:cs="Arial"/>
          <w:i/>
        </w:rPr>
        <w:t>Journal of Science: Advanced Materials and Devices</w:t>
      </w:r>
      <w:r w:rsidRPr="00C24E8B">
        <w:rPr>
          <w:rFonts w:ascii="Arial" w:hAnsi="Arial" w:cs="Arial"/>
        </w:rPr>
        <w:t>, 1(1), 1-17.</w:t>
      </w:r>
    </w:p>
    <w:p w:rsidRPr="00C24E8B" w:rsidR="00C24E8B" w:rsidP="00C24E8B" w:rsidRDefault="00C24E8B" w14:paraId="0410B2CF" w14:textId="2560A8CF">
      <w:pPr>
        <w:pStyle w:val="ListParagraph"/>
        <w:numPr>
          <w:ilvl w:val="0"/>
          <w:numId w:val="7"/>
        </w:numPr>
        <w:spacing w:after="120"/>
        <w:ind w:left="357" w:hanging="357"/>
        <w:contextualSpacing w:val="0"/>
        <w:rPr>
          <w:rFonts w:ascii="Arial" w:hAnsi="Arial" w:cs="Arial"/>
        </w:rPr>
      </w:pPr>
      <w:proofErr w:type="spellStart"/>
      <w:r w:rsidRPr="00C24E8B">
        <w:rPr>
          <w:rFonts w:ascii="Arial" w:hAnsi="Arial" w:cs="Arial"/>
        </w:rPr>
        <w:t>Ozbolat</w:t>
      </w:r>
      <w:proofErr w:type="spellEnd"/>
      <w:r w:rsidRPr="00C24E8B">
        <w:rPr>
          <w:rFonts w:ascii="Arial" w:hAnsi="Arial" w:cs="Arial"/>
        </w:rPr>
        <w:t xml:space="preserve">, I. and </w:t>
      </w:r>
      <w:proofErr w:type="spellStart"/>
      <w:r w:rsidRPr="00C24E8B">
        <w:rPr>
          <w:rFonts w:ascii="Arial" w:hAnsi="Arial" w:cs="Arial"/>
        </w:rPr>
        <w:t>Hospodiuk</w:t>
      </w:r>
      <w:proofErr w:type="spellEnd"/>
      <w:r w:rsidRPr="00C24E8B">
        <w:rPr>
          <w:rFonts w:ascii="Arial" w:hAnsi="Arial" w:cs="Arial"/>
        </w:rPr>
        <w:t xml:space="preserve">, M. (2016). Current advances and future perspectives in extrusion-based bioprinting, </w:t>
      </w:r>
      <w:r w:rsidRPr="00C24E8B">
        <w:rPr>
          <w:rFonts w:ascii="Arial" w:hAnsi="Arial" w:cs="Arial"/>
          <w:i/>
        </w:rPr>
        <w:t>Biomaterials</w:t>
      </w:r>
      <w:r w:rsidRPr="00C24E8B">
        <w:rPr>
          <w:rFonts w:ascii="Arial" w:hAnsi="Arial" w:cs="Arial"/>
        </w:rPr>
        <w:t>, 76, 321-343.</w:t>
      </w:r>
    </w:p>
    <w:p w:rsidRPr="00C24E8B" w:rsidR="00C24E8B" w:rsidP="00C24E8B" w:rsidRDefault="00C24E8B" w14:paraId="0838C480" w14:textId="765AB564">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Park, J. Jang, J. Lee, J. and Cho, D. (2016). Current advances in three-dimensional tissue/organ printing, </w:t>
      </w:r>
      <w:r w:rsidRPr="00C24E8B">
        <w:rPr>
          <w:rFonts w:ascii="Arial" w:hAnsi="Arial" w:cs="Arial"/>
          <w:i/>
        </w:rPr>
        <w:t>Tissue Engineering and Regenerative Medicine</w:t>
      </w:r>
      <w:r w:rsidRPr="00C24E8B">
        <w:rPr>
          <w:rFonts w:ascii="Arial" w:hAnsi="Arial" w:cs="Arial"/>
        </w:rPr>
        <w:t>, 13(6), 612-621.</w:t>
      </w:r>
    </w:p>
    <w:p w:rsidRPr="00C24E8B" w:rsidR="00C24E8B" w:rsidP="00C24E8B" w:rsidRDefault="00C24E8B" w14:paraId="10EDB105" w14:textId="405EA689">
      <w:pPr>
        <w:pStyle w:val="ListParagraph"/>
        <w:numPr>
          <w:ilvl w:val="0"/>
          <w:numId w:val="7"/>
        </w:numPr>
        <w:spacing w:after="120"/>
        <w:ind w:left="357" w:hanging="357"/>
        <w:contextualSpacing w:val="0"/>
        <w:rPr>
          <w:rFonts w:ascii="Arial" w:hAnsi="Arial" w:cs="Arial"/>
        </w:rPr>
      </w:pPr>
      <w:proofErr w:type="spellStart"/>
      <w:r w:rsidRPr="00C24E8B">
        <w:rPr>
          <w:rFonts w:ascii="Arial" w:hAnsi="Arial" w:cs="Arial"/>
        </w:rPr>
        <w:t>Skardal</w:t>
      </w:r>
      <w:proofErr w:type="spellEnd"/>
      <w:r w:rsidRPr="00C24E8B">
        <w:rPr>
          <w:rFonts w:ascii="Arial" w:hAnsi="Arial" w:cs="Arial"/>
        </w:rPr>
        <w:t xml:space="preserve">, A. and </w:t>
      </w:r>
      <w:proofErr w:type="spellStart"/>
      <w:r w:rsidRPr="00C24E8B">
        <w:rPr>
          <w:rFonts w:ascii="Arial" w:hAnsi="Arial" w:cs="Arial"/>
        </w:rPr>
        <w:t>Atala</w:t>
      </w:r>
      <w:proofErr w:type="spellEnd"/>
      <w:r w:rsidRPr="00C24E8B">
        <w:rPr>
          <w:rFonts w:ascii="Arial" w:hAnsi="Arial" w:cs="Arial"/>
        </w:rPr>
        <w:t xml:space="preserve">, A. (2015). Biomaterials for Integration with 3-D Bioprinting. </w:t>
      </w:r>
      <w:r w:rsidRPr="00C24E8B">
        <w:rPr>
          <w:rFonts w:ascii="Arial" w:hAnsi="Arial" w:cs="Arial"/>
          <w:i/>
          <w:iCs/>
        </w:rPr>
        <w:t>Annals of Biomedical Engineering</w:t>
      </w:r>
      <w:r w:rsidRPr="00C24E8B">
        <w:rPr>
          <w:rFonts w:ascii="Arial" w:hAnsi="Arial" w:cs="Arial"/>
        </w:rPr>
        <w:t>, 43(3), 730-746.</w:t>
      </w:r>
    </w:p>
    <w:p w:rsidRPr="00C24E8B" w:rsidR="00C24E8B" w:rsidP="00C24E8B" w:rsidRDefault="00C24E8B" w14:paraId="0A27B0D0" w14:textId="677C46ED">
      <w:pPr>
        <w:pStyle w:val="ListParagraph"/>
        <w:numPr>
          <w:ilvl w:val="0"/>
          <w:numId w:val="7"/>
        </w:numPr>
        <w:spacing w:after="120"/>
        <w:ind w:left="357" w:hanging="357"/>
        <w:contextualSpacing w:val="0"/>
        <w:rPr>
          <w:rFonts w:ascii="Arial" w:hAnsi="Arial" w:cs="Arial"/>
        </w:rPr>
      </w:pPr>
      <w:proofErr w:type="spellStart"/>
      <w:r w:rsidRPr="00C24E8B">
        <w:rPr>
          <w:rFonts w:ascii="Arial" w:hAnsi="Arial" w:cs="Arial"/>
        </w:rPr>
        <w:t>Skardal</w:t>
      </w:r>
      <w:proofErr w:type="spellEnd"/>
      <w:r w:rsidRPr="00C24E8B">
        <w:rPr>
          <w:rFonts w:ascii="Arial" w:hAnsi="Arial" w:cs="Arial"/>
        </w:rPr>
        <w:t xml:space="preserve">, A. </w:t>
      </w:r>
      <w:proofErr w:type="spellStart"/>
      <w:r w:rsidRPr="00C24E8B">
        <w:rPr>
          <w:rFonts w:ascii="Arial" w:hAnsi="Arial" w:cs="Arial"/>
        </w:rPr>
        <w:t>Devarasetty</w:t>
      </w:r>
      <w:proofErr w:type="spellEnd"/>
      <w:r w:rsidRPr="00C24E8B">
        <w:rPr>
          <w:rFonts w:ascii="Arial" w:hAnsi="Arial" w:cs="Arial"/>
        </w:rPr>
        <w:t xml:space="preserve">, M. Kang, H. </w:t>
      </w:r>
      <w:proofErr w:type="spellStart"/>
      <w:r w:rsidRPr="00C24E8B">
        <w:rPr>
          <w:rFonts w:ascii="Arial" w:hAnsi="Arial" w:cs="Arial"/>
        </w:rPr>
        <w:t>Seol</w:t>
      </w:r>
      <w:proofErr w:type="spellEnd"/>
      <w:r w:rsidRPr="00C24E8B">
        <w:rPr>
          <w:rFonts w:ascii="Arial" w:hAnsi="Arial" w:cs="Arial"/>
        </w:rPr>
        <w:t xml:space="preserve">, Y. Forsythe, S. Bishop, C. Shupe, T. </w:t>
      </w:r>
      <w:proofErr w:type="spellStart"/>
      <w:r w:rsidRPr="00C24E8B">
        <w:rPr>
          <w:rFonts w:ascii="Arial" w:hAnsi="Arial" w:cs="Arial"/>
        </w:rPr>
        <w:t>Soker</w:t>
      </w:r>
      <w:proofErr w:type="spellEnd"/>
      <w:r w:rsidRPr="00C24E8B">
        <w:rPr>
          <w:rFonts w:ascii="Arial" w:hAnsi="Arial" w:cs="Arial"/>
        </w:rPr>
        <w:t xml:space="preserve">, S. and </w:t>
      </w:r>
      <w:proofErr w:type="spellStart"/>
      <w:r w:rsidRPr="00C24E8B">
        <w:rPr>
          <w:rFonts w:ascii="Arial" w:hAnsi="Arial" w:cs="Arial"/>
        </w:rPr>
        <w:t>Atala</w:t>
      </w:r>
      <w:proofErr w:type="spellEnd"/>
      <w:r w:rsidRPr="00C24E8B">
        <w:rPr>
          <w:rFonts w:ascii="Arial" w:hAnsi="Arial" w:cs="Arial"/>
        </w:rPr>
        <w:t xml:space="preserve">, A. (2016). Bioprinting </w:t>
      </w:r>
      <w:proofErr w:type="spellStart"/>
      <w:r w:rsidRPr="00C24E8B">
        <w:rPr>
          <w:rFonts w:ascii="Arial" w:hAnsi="Arial" w:cs="Arial"/>
        </w:rPr>
        <w:t>Cellularized</w:t>
      </w:r>
      <w:proofErr w:type="spellEnd"/>
      <w:r w:rsidRPr="00C24E8B">
        <w:rPr>
          <w:rFonts w:ascii="Arial" w:hAnsi="Arial" w:cs="Arial"/>
        </w:rPr>
        <w:t xml:space="preserve"> Constructs Using a Tissue-specific Hydrogel </w:t>
      </w:r>
      <w:proofErr w:type="spellStart"/>
      <w:r w:rsidRPr="00C24E8B">
        <w:rPr>
          <w:rFonts w:ascii="Arial" w:hAnsi="Arial" w:cs="Arial"/>
        </w:rPr>
        <w:t>Bioink</w:t>
      </w:r>
      <w:proofErr w:type="spellEnd"/>
      <w:r w:rsidRPr="00C24E8B">
        <w:rPr>
          <w:rFonts w:ascii="Arial" w:hAnsi="Arial" w:cs="Arial"/>
        </w:rPr>
        <w:t xml:space="preserve">, </w:t>
      </w:r>
      <w:r w:rsidRPr="00C24E8B">
        <w:rPr>
          <w:rFonts w:ascii="Arial" w:hAnsi="Arial" w:cs="Arial"/>
          <w:i/>
        </w:rPr>
        <w:t>Journal of Visualized Experiments</w:t>
      </w:r>
      <w:r w:rsidRPr="00C24E8B">
        <w:rPr>
          <w:rFonts w:ascii="Arial" w:hAnsi="Arial" w:cs="Arial"/>
        </w:rPr>
        <w:t>, (110), 53606.</w:t>
      </w:r>
    </w:p>
    <w:p w:rsidRPr="00C24E8B" w:rsidR="000C2C07" w:rsidP="00C24E8B" w:rsidRDefault="00C24E8B" w14:paraId="65F9C3DC" w14:textId="4CF9AAB3">
      <w:pPr>
        <w:pStyle w:val="ListParagraph"/>
        <w:numPr>
          <w:ilvl w:val="0"/>
          <w:numId w:val="7"/>
        </w:numPr>
        <w:spacing w:after="120"/>
        <w:ind w:left="357" w:hanging="357"/>
        <w:contextualSpacing w:val="0"/>
        <w:rPr>
          <w:rFonts w:ascii="Arial" w:hAnsi="Arial" w:cs="Arial"/>
        </w:rPr>
      </w:pPr>
      <w:r w:rsidRPr="00C24E8B">
        <w:rPr>
          <w:rFonts w:ascii="Arial" w:hAnsi="Arial" w:cs="Arial"/>
        </w:rPr>
        <w:t xml:space="preserve">Stanton, M. </w:t>
      </w:r>
      <w:proofErr w:type="spellStart"/>
      <w:r w:rsidRPr="00C24E8B">
        <w:rPr>
          <w:rFonts w:ascii="Arial" w:hAnsi="Arial" w:cs="Arial"/>
        </w:rPr>
        <w:t>Samitier</w:t>
      </w:r>
      <w:proofErr w:type="spellEnd"/>
      <w:r w:rsidRPr="00C24E8B">
        <w:rPr>
          <w:rFonts w:ascii="Arial" w:hAnsi="Arial" w:cs="Arial"/>
        </w:rPr>
        <w:t xml:space="preserve">, J. and Sanchez, S. (2015). Bioprinting of 3D hydrogels. </w:t>
      </w:r>
      <w:r w:rsidRPr="00C24E8B">
        <w:rPr>
          <w:rFonts w:ascii="Arial" w:hAnsi="Arial" w:cs="Arial"/>
          <w:i/>
          <w:iCs/>
        </w:rPr>
        <w:t>Lab on a Chip</w:t>
      </w:r>
      <w:r w:rsidRPr="00C24E8B">
        <w:rPr>
          <w:rFonts w:ascii="Arial" w:hAnsi="Arial" w:cs="Arial"/>
        </w:rPr>
        <w:t>, (15), 3111-3115.</w:t>
      </w:r>
    </w:p>
    <w:sectPr w:rsidRPr="00C24E8B" w:rsidR="000C2C07" w:rsidSect="00C24E8B">
      <w:footerReference w:type="default" r:id="rId11"/>
      <w:headerReference w:type="first" r:id="rId12"/>
      <w:footerReference w:type="first" r:id="rId13"/>
      <w:pgSz w:w="11906" w:h="16838" w:orient="portrait"/>
      <w:pgMar w:top="1440" w:right="1080" w:bottom="1440" w:left="108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8A3" w:rsidP="00FB05A8" w:rsidRDefault="00C258A3" w14:paraId="442664B9" w14:textId="77777777">
      <w:r>
        <w:separator/>
      </w:r>
    </w:p>
  </w:endnote>
  <w:endnote w:type="continuationSeparator" w:id="0">
    <w:p w:rsidR="00C258A3" w:rsidP="00FB05A8" w:rsidRDefault="00C258A3" w14:paraId="720166C6" w14:textId="77777777">
      <w:r>
        <w:continuationSeparator/>
      </w:r>
    </w:p>
  </w:endnote>
  <w:endnote w:type="continuationNotice" w:id="1">
    <w:p w:rsidR="00C258A3" w:rsidRDefault="00C258A3" w14:paraId="72C110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CDF86A2" w14:textId="77777777">
      <w:tc>
        <w:tcPr>
          <w:tcW w:w="567" w:type="dxa"/>
          <w:shd w:val="clear" w:color="auto" w:fill="282878"/>
          <w:vAlign w:val="center"/>
        </w:tcPr>
        <w:p w:rsidRPr="00662DF8" w:rsidR="00D24386" w:rsidP="00D24386" w:rsidRDefault="00D24386" w14:paraId="664355AD" w14:textId="77777777">
          <w:pPr>
            <w:pStyle w:val="Footer"/>
            <w:rPr>
              <w:sz w:val="10"/>
              <w:szCs w:val="10"/>
            </w:rPr>
          </w:pPr>
        </w:p>
      </w:tc>
      <w:tc>
        <w:tcPr>
          <w:tcW w:w="5245" w:type="dxa"/>
          <w:shd w:val="clear" w:color="auto" w:fill="282878"/>
          <w:vAlign w:val="center"/>
        </w:tcPr>
        <w:p w:rsidRPr="00662DF8" w:rsidR="00D24386" w:rsidP="00D24386" w:rsidRDefault="00DF61A6" w14:paraId="22947064" w14:textId="77777777">
          <w:pPr>
            <w:pStyle w:val="Footer"/>
          </w:pPr>
          <w:proofErr w:type="gramStart"/>
          <w:r w:rsidRPr="00DF61A6">
            <w:rPr>
              <w:color w:val="FF0000"/>
            </w:rPr>
            <w:t>|</w:t>
          </w:r>
          <w:r w:rsidRPr="00662DF8">
            <w:t xml:space="preserve">  </w:t>
          </w:r>
          <w:r w:rsidRPr="00662DF8" w:rsidR="00D24386">
            <w:t>Kaplan</w:t>
          </w:r>
          <w:proofErr w:type="gramEnd"/>
          <w:r w:rsidRPr="00662DF8" w:rsidR="00D24386">
            <w:t xml:space="preserve"> International Pathways</w:t>
          </w:r>
        </w:p>
      </w:tc>
      <w:tc>
        <w:tcPr>
          <w:tcW w:w="3261" w:type="dxa"/>
          <w:shd w:val="clear" w:color="auto" w:fill="282878"/>
          <w:vAlign w:val="center"/>
        </w:tcPr>
        <w:p w:rsidRPr="00662DF8" w:rsidR="00D24386" w:rsidP="00D24386" w:rsidRDefault="00DF61A6" w14:paraId="66F1A2B1"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54324C">
            <w:rPr>
              <w:noProof/>
            </w:rPr>
            <w:t>2</w:t>
          </w:r>
          <w:r w:rsidRPr="00662DF8" w:rsidR="00D24386">
            <w:rPr>
              <w:noProof/>
            </w:rPr>
            <w:fldChar w:fldCharType="end"/>
          </w:r>
        </w:p>
      </w:tc>
      <w:tc>
        <w:tcPr>
          <w:tcW w:w="2835" w:type="dxa"/>
          <w:shd w:val="clear" w:color="auto" w:fill="282878"/>
          <w:vAlign w:val="center"/>
        </w:tcPr>
        <w:p w:rsidRPr="00662DF8" w:rsidR="00D24386" w:rsidP="00D24386" w:rsidRDefault="00DF61A6" w14:paraId="3E2A9098" w14:textId="77777777">
          <w:pPr>
            <w:pStyle w:val="Footer"/>
          </w:pPr>
          <w:proofErr w:type="gramStart"/>
          <w:r w:rsidRPr="00DF61A6">
            <w:rPr>
              <w:color w:val="FF0000"/>
            </w:rPr>
            <w:t>|</w:t>
          </w:r>
          <w:r w:rsidRPr="00662DF8">
            <w:t xml:space="preserve">  k</w:t>
          </w:r>
          <w:r w:rsidRPr="00662DF8" w:rsidR="00D24386">
            <w:t>aplanpathways.com</w:t>
          </w:r>
          <w:proofErr w:type="gramEnd"/>
        </w:p>
      </w:tc>
    </w:tr>
    <w:tr w:rsidRPr="00D24386" w:rsidR="00D24386" w:rsidTr="00DF61A6" w14:paraId="1A965116" w14:textId="77777777">
      <w:tc>
        <w:tcPr>
          <w:tcW w:w="567" w:type="dxa"/>
          <w:shd w:val="clear" w:color="auto" w:fill="282878"/>
        </w:tcPr>
        <w:p w:rsidRPr="00662DF8" w:rsidR="00D24386" w:rsidP="00D24386" w:rsidRDefault="00D24386" w14:paraId="7DF4E37C" w14:textId="77777777">
          <w:pPr>
            <w:pStyle w:val="Footer"/>
            <w:rPr>
              <w:sz w:val="4"/>
              <w:szCs w:val="4"/>
            </w:rPr>
          </w:pPr>
        </w:p>
      </w:tc>
      <w:tc>
        <w:tcPr>
          <w:tcW w:w="5245" w:type="dxa"/>
          <w:shd w:val="clear" w:color="auto" w:fill="282878"/>
        </w:tcPr>
        <w:p w:rsidRPr="00662DF8" w:rsidR="00D24386" w:rsidP="00D24386" w:rsidRDefault="00D24386" w14:paraId="44FB30F8" w14:textId="77777777">
          <w:pPr>
            <w:pStyle w:val="Footer"/>
            <w:rPr>
              <w:sz w:val="4"/>
              <w:szCs w:val="4"/>
            </w:rPr>
          </w:pPr>
        </w:p>
      </w:tc>
      <w:tc>
        <w:tcPr>
          <w:tcW w:w="3261" w:type="dxa"/>
          <w:shd w:val="clear" w:color="auto" w:fill="282878"/>
        </w:tcPr>
        <w:p w:rsidRPr="00662DF8" w:rsidR="00D24386" w:rsidP="00D24386" w:rsidRDefault="00D24386" w14:paraId="1DA6542E" w14:textId="77777777">
          <w:pPr>
            <w:pStyle w:val="Footer"/>
            <w:rPr>
              <w:sz w:val="4"/>
              <w:szCs w:val="4"/>
            </w:rPr>
          </w:pPr>
        </w:p>
      </w:tc>
      <w:tc>
        <w:tcPr>
          <w:tcW w:w="2835" w:type="dxa"/>
          <w:shd w:val="clear" w:color="auto" w:fill="282878"/>
        </w:tcPr>
        <w:p w:rsidRPr="00662DF8" w:rsidR="00D24386" w:rsidP="00D24386" w:rsidRDefault="00D24386" w14:paraId="3041E394" w14:textId="77777777">
          <w:pPr>
            <w:pStyle w:val="Footer"/>
            <w:rPr>
              <w:sz w:val="4"/>
              <w:szCs w:val="4"/>
            </w:rPr>
          </w:pPr>
        </w:p>
      </w:tc>
    </w:tr>
  </w:tbl>
  <w:p w:rsidRPr="00636173" w:rsidR="00636173" w:rsidP="00D24386" w:rsidRDefault="00636173" w14:paraId="722B00AE" w14:textId="7777777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675EFECD" w14:textId="77777777">
      <w:tc>
        <w:tcPr>
          <w:tcW w:w="567" w:type="dxa"/>
          <w:shd w:val="clear" w:color="auto" w:fill="282878"/>
          <w:vAlign w:val="center"/>
        </w:tcPr>
        <w:p w:rsidRPr="00662DF8" w:rsidR="00DF61A6" w:rsidP="00662DF8" w:rsidRDefault="00DF61A6" w14:paraId="2DE403A5" w14:textId="77777777">
          <w:pPr>
            <w:pStyle w:val="Footer"/>
            <w:rPr>
              <w:sz w:val="10"/>
              <w:szCs w:val="10"/>
            </w:rPr>
          </w:pPr>
        </w:p>
      </w:tc>
      <w:tc>
        <w:tcPr>
          <w:tcW w:w="5245" w:type="dxa"/>
          <w:shd w:val="clear" w:color="auto" w:fill="282878"/>
          <w:vAlign w:val="center"/>
        </w:tcPr>
        <w:p w:rsidRPr="00662DF8" w:rsidR="00DF61A6" w:rsidP="00662DF8" w:rsidRDefault="00DF61A6" w14:paraId="164416A3" w14:textId="77777777">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rsidRPr="00662DF8" w:rsidR="00DF61A6" w:rsidP="00662DF8" w:rsidRDefault="00DF61A6" w14:paraId="62BC5B12"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54324C">
            <w:rPr>
              <w:noProof/>
            </w:rPr>
            <w:t>1</w:t>
          </w:r>
          <w:r w:rsidRPr="00662DF8">
            <w:rPr>
              <w:noProof/>
            </w:rPr>
            <w:fldChar w:fldCharType="end"/>
          </w:r>
        </w:p>
      </w:tc>
      <w:tc>
        <w:tcPr>
          <w:tcW w:w="2835" w:type="dxa"/>
          <w:shd w:val="clear" w:color="auto" w:fill="282878"/>
          <w:vAlign w:val="center"/>
        </w:tcPr>
        <w:p w:rsidRPr="00662DF8" w:rsidR="00DF61A6" w:rsidP="00662DF8" w:rsidRDefault="00DF61A6" w14:paraId="55E3C552" w14:textId="77777777">
          <w:pPr>
            <w:pStyle w:val="Footer"/>
          </w:pPr>
          <w:proofErr w:type="gramStart"/>
          <w:r w:rsidRPr="00DF61A6">
            <w:rPr>
              <w:color w:val="FF0000"/>
            </w:rPr>
            <w:t>|</w:t>
          </w:r>
          <w:r w:rsidRPr="00662DF8">
            <w:t xml:space="preserve">  kaplanpathways.com</w:t>
          </w:r>
          <w:proofErr w:type="gramEnd"/>
        </w:p>
      </w:tc>
    </w:tr>
    <w:tr w:rsidRPr="00D24386" w:rsidR="00DF61A6" w:rsidTr="00662DF8" w14:paraId="62431CDC" w14:textId="77777777">
      <w:tc>
        <w:tcPr>
          <w:tcW w:w="567" w:type="dxa"/>
          <w:shd w:val="clear" w:color="auto" w:fill="282878"/>
        </w:tcPr>
        <w:p w:rsidRPr="00662DF8" w:rsidR="00DF61A6" w:rsidP="00662DF8" w:rsidRDefault="00DF61A6" w14:paraId="49E398E2" w14:textId="77777777">
          <w:pPr>
            <w:pStyle w:val="Footer"/>
            <w:rPr>
              <w:sz w:val="4"/>
              <w:szCs w:val="4"/>
            </w:rPr>
          </w:pPr>
        </w:p>
      </w:tc>
      <w:tc>
        <w:tcPr>
          <w:tcW w:w="5245" w:type="dxa"/>
          <w:shd w:val="clear" w:color="auto" w:fill="282878"/>
        </w:tcPr>
        <w:p w:rsidRPr="00662DF8" w:rsidR="00DF61A6" w:rsidP="00662DF8" w:rsidRDefault="00DF61A6" w14:paraId="16287F21" w14:textId="77777777">
          <w:pPr>
            <w:pStyle w:val="Footer"/>
            <w:rPr>
              <w:sz w:val="4"/>
              <w:szCs w:val="4"/>
            </w:rPr>
          </w:pPr>
        </w:p>
      </w:tc>
      <w:tc>
        <w:tcPr>
          <w:tcW w:w="3261" w:type="dxa"/>
          <w:shd w:val="clear" w:color="auto" w:fill="282878"/>
        </w:tcPr>
        <w:p w:rsidRPr="00662DF8" w:rsidR="00DF61A6" w:rsidP="00662DF8" w:rsidRDefault="00DF61A6" w14:paraId="5BE93A62" w14:textId="77777777">
          <w:pPr>
            <w:pStyle w:val="Footer"/>
            <w:rPr>
              <w:sz w:val="4"/>
              <w:szCs w:val="4"/>
            </w:rPr>
          </w:pPr>
        </w:p>
      </w:tc>
      <w:tc>
        <w:tcPr>
          <w:tcW w:w="2835" w:type="dxa"/>
          <w:shd w:val="clear" w:color="auto" w:fill="282878"/>
        </w:tcPr>
        <w:p w:rsidRPr="00662DF8" w:rsidR="00DF61A6" w:rsidP="00662DF8" w:rsidRDefault="00DF61A6" w14:paraId="384BA73E" w14:textId="77777777">
          <w:pPr>
            <w:pStyle w:val="Footer"/>
            <w:rPr>
              <w:sz w:val="4"/>
              <w:szCs w:val="4"/>
            </w:rPr>
          </w:pPr>
        </w:p>
      </w:tc>
    </w:tr>
  </w:tbl>
  <w:p w:rsidRPr="00636173" w:rsidR="00DF61A6" w:rsidP="00DF61A6" w:rsidRDefault="00DF61A6" w14:paraId="34B3F2EB" w14:textId="7777777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8A3" w:rsidP="00FB05A8" w:rsidRDefault="00C258A3" w14:paraId="3DB4CE03" w14:textId="77777777">
      <w:r>
        <w:separator/>
      </w:r>
    </w:p>
  </w:footnote>
  <w:footnote w:type="continuationSeparator" w:id="0">
    <w:p w:rsidR="00C258A3" w:rsidP="00FB05A8" w:rsidRDefault="00C258A3" w14:paraId="09A95284" w14:textId="77777777">
      <w:r>
        <w:continuationSeparator/>
      </w:r>
    </w:p>
  </w:footnote>
  <w:footnote w:type="continuationNotice" w:id="1">
    <w:p w:rsidR="00C258A3" w:rsidRDefault="00C258A3" w14:paraId="0D8A9F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9962"/>
    </w:tblGrid>
    <w:tr w:rsidRPr="00FB05A8" w:rsidR="00DF61A6" w:rsidTr="6961DB45" w14:paraId="5023141B" w14:textId="77777777">
      <w:tc>
        <w:tcPr>
          <w:tcW w:w="10682" w:type="dxa"/>
          <w:shd w:val="clear" w:color="auto" w:fill="auto"/>
          <w:tcMar/>
        </w:tcPr>
        <w:p w:rsidRPr="00FB05A8" w:rsidR="00DF61A6" w:rsidP="00662DF8" w:rsidRDefault="00A671B3" w14:paraId="1F3B1409" w14:textId="77777777">
          <w:pPr>
            <w:pStyle w:val="Header"/>
            <w:spacing w:after="425"/>
            <w:jc w:val="center"/>
            <w:rPr>
              <w:rFonts w:ascii="Calibri" w:hAnsi="Calibri"/>
            </w:rPr>
          </w:pPr>
          <w:r w:rsidR="6961DB45">
            <w:drawing>
              <wp:inline wp14:editId="3B74888D" wp14:anchorId="25A1A6CE">
                <wp:extent cx="2524760" cy="429895"/>
                <wp:effectExtent l="0" t="0" r="8890" b="8255"/>
                <wp:docPr id="3" name="Picture 1" title=""/>
                <wp:cNvGraphicFramePr>
                  <a:graphicFrameLocks noChangeAspect="1"/>
                </wp:cNvGraphicFramePr>
                <a:graphic>
                  <a:graphicData uri="http://schemas.openxmlformats.org/drawingml/2006/picture">
                    <pic:pic>
                      <pic:nvPicPr>
                        <pic:cNvPr id="0" name="Picture 1"/>
                        <pic:cNvPicPr/>
                      </pic:nvPicPr>
                      <pic:blipFill>
                        <a:blip r:embed="R768ed0a0273a4ab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24760" cy="429895"/>
                        </a:xfrm>
                        <a:prstGeom prst="rect">
                          <a:avLst/>
                        </a:prstGeom>
                      </pic:spPr>
                    </pic:pic>
                  </a:graphicData>
                </a:graphic>
              </wp:inline>
            </w:drawing>
          </w:r>
        </w:p>
      </w:tc>
    </w:tr>
  </w:tbl>
  <w:p w:rsidRPr="00D16FC4" w:rsidR="00DF61A6" w:rsidP="00DF61A6" w:rsidRDefault="00DF61A6" w14:paraId="562C75D1" w14:textId="7777777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A63CE"/>
    <w:multiLevelType w:val="hybridMultilevel"/>
    <w:tmpl w:val="638C73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DF05F0E"/>
    <w:multiLevelType w:val="hybridMultilevel"/>
    <w:tmpl w:val="CCCEB9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E336E70"/>
    <w:multiLevelType w:val="hybridMultilevel"/>
    <w:tmpl w:val="FD2C0C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dirty"/>
  <w:attachedTemplate r:id="rId1"/>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21C3"/>
    <w:rsid w:val="00082418"/>
    <w:rsid w:val="00086063"/>
    <w:rsid w:val="000B3785"/>
    <w:rsid w:val="000C2C07"/>
    <w:rsid w:val="000F3DC8"/>
    <w:rsid w:val="00135D5B"/>
    <w:rsid w:val="00163C68"/>
    <w:rsid w:val="00194CCC"/>
    <w:rsid w:val="001A5B65"/>
    <w:rsid w:val="001D5E11"/>
    <w:rsid w:val="001F0658"/>
    <w:rsid w:val="002520AC"/>
    <w:rsid w:val="002853B2"/>
    <w:rsid w:val="0030685C"/>
    <w:rsid w:val="00350EF3"/>
    <w:rsid w:val="003D284A"/>
    <w:rsid w:val="003E16DB"/>
    <w:rsid w:val="004052EB"/>
    <w:rsid w:val="00405B5A"/>
    <w:rsid w:val="004369D1"/>
    <w:rsid w:val="0051788D"/>
    <w:rsid w:val="0054324C"/>
    <w:rsid w:val="005C1879"/>
    <w:rsid w:val="005E776E"/>
    <w:rsid w:val="0063433F"/>
    <w:rsid w:val="00636173"/>
    <w:rsid w:val="00662DF8"/>
    <w:rsid w:val="00675492"/>
    <w:rsid w:val="006F5CD6"/>
    <w:rsid w:val="00704099"/>
    <w:rsid w:val="00705A78"/>
    <w:rsid w:val="00740620"/>
    <w:rsid w:val="00830FF3"/>
    <w:rsid w:val="00942029"/>
    <w:rsid w:val="009A3023"/>
    <w:rsid w:val="009B216A"/>
    <w:rsid w:val="009F49D0"/>
    <w:rsid w:val="00A07C08"/>
    <w:rsid w:val="00A52645"/>
    <w:rsid w:val="00A671B3"/>
    <w:rsid w:val="00A80B66"/>
    <w:rsid w:val="00AF1F3F"/>
    <w:rsid w:val="00B241D0"/>
    <w:rsid w:val="00B24D0C"/>
    <w:rsid w:val="00B52F1D"/>
    <w:rsid w:val="00BE6580"/>
    <w:rsid w:val="00C125C8"/>
    <w:rsid w:val="00C24E8B"/>
    <w:rsid w:val="00C258A3"/>
    <w:rsid w:val="00C67F39"/>
    <w:rsid w:val="00CE2E35"/>
    <w:rsid w:val="00D06F19"/>
    <w:rsid w:val="00D16FC4"/>
    <w:rsid w:val="00D24386"/>
    <w:rsid w:val="00D37E3B"/>
    <w:rsid w:val="00DF61A6"/>
    <w:rsid w:val="00E10AAB"/>
    <w:rsid w:val="00E21636"/>
    <w:rsid w:val="00E5367D"/>
    <w:rsid w:val="00E80AA6"/>
    <w:rsid w:val="00EA0BD1"/>
    <w:rsid w:val="00EC4324"/>
    <w:rsid w:val="00FA224E"/>
    <w:rsid w:val="00FA4AB6"/>
    <w:rsid w:val="00FB05A8"/>
    <w:rsid w:val="00FD46BE"/>
    <w:rsid w:val="15E062FD"/>
    <w:rsid w:val="22B2D1CA"/>
    <w:rsid w:val="2D04ED0F"/>
    <w:rsid w:val="32885926"/>
    <w:rsid w:val="3B01F143"/>
    <w:rsid w:val="55328CED"/>
    <w:rsid w:val="6961DB45"/>
    <w:rsid w:val="6B3EE0AC"/>
    <w:rsid w:val="700DA475"/>
    <w:rsid w:val="73FDA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E929A"/>
  <w15:docId w15:val="{B1C73AF4-D51F-4BE0-B925-3CD2813D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rsid w:val="00A671B3"/>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3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styleId="BulletpointChar" w:customStyle="1">
    <w:name w:val="Bullet point Char"/>
    <w:link w:val="Bulletpoint"/>
    <w:rsid w:val="005C1879"/>
    <w:rPr>
      <w:rFonts w:ascii="Arial" w:hAnsi="Arial"/>
      <w:color w:val="393839"/>
      <w:sz w:val="18"/>
      <w:szCs w:val="22"/>
      <w:lang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&#65279;<?xml version="1.0" encoding="utf-8"?><Relationships xmlns="http://schemas.openxmlformats.org/package/2006/relationships"><Relationship Type="http://schemas.openxmlformats.org/officeDocument/2006/relationships/image" Target="/media/image2.png" Id="R768ed0a0273a4ab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21e0d3-4c4f-4c2d-8e05-8e69abd44bcf" xsi:nil="true"/>
    <lcf76f155ced4ddcb4097134ff3c332f xmlns="d49a9944-3df9-451f-8e33-1f7bf056dc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8BB18F4248E440903DB335DF4367D8" ma:contentTypeVersion="13" ma:contentTypeDescription="Create a new document." ma:contentTypeScope="" ma:versionID="d19a3d22144bfc45ecee3a80c7b87bfb">
  <xsd:schema xmlns:xsd="http://www.w3.org/2001/XMLSchema" xmlns:xs="http://www.w3.org/2001/XMLSchema" xmlns:p="http://schemas.microsoft.com/office/2006/metadata/properties" xmlns:ns2="d49a9944-3df9-451f-8e33-1f7bf056dc00" xmlns:ns3="0521e0d3-4c4f-4c2d-8e05-8e69abd44bcf" targetNamespace="http://schemas.microsoft.com/office/2006/metadata/properties" ma:root="true" ma:fieldsID="097d73e066713bafaa31eae745ee1465" ns2:_="" ns3:_="">
    <xsd:import namespace="d49a9944-3df9-451f-8e33-1f7bf056dc00"/>
    <xsd:import namespace="0521e0d3-4c4f-4c2d-8e05-8e69abd44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9944-3df9-451f-8e33-1f7bf056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1e0d3-4c4f-4c2d-8e05-8e69abd44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8e63ac-c649-4808-85db-499e66ea2519}" ma:internalName="TaxCatchAll" ma:showField="CatchAllData" ma:web="0521e0d3-4c4f-4c2d-8e05-8e69abd44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schemas.microsoft.com/office/2006/metadata/properties"/>
    <ds:schemaRef ds:uri="http://schemas.microsoft.com/office/2006/documentManagement/types"/>
    <ds:schemaRef ds:uri="2a0aa29f-5b2e-4f26-9683-d6d4ab7460cf"/>
    <ds:schemaRef ds:uri="http://purl.org/dc/elements/1.1/"/>
    <ds:schemaRef ds:uri="http://schemas.microsoft.com/office/infopath/2007/PartnerControls"/>
    <ds:schemaRef ds:uri="http://schemas.openxmlformats.org/package/2006/metadata/core-properties"/>
    <ds:schemaRef ds:uri="http://purl.org/dc/terms/"/>
    <ds:schemaRef ds:uri="94eef652-f3d4-403f-bb68-6f2321bcd15d"/>
    <ds:schemaRef ds:uri="http://www.w3.org/XML/1998/namespace"/>
    <ds:schemaRef ds:uri="http://purl.org/dc/dcmitype/"/>
  </ds:schemaRefs>
</ds:datastoreItem>
</file>

<file path=customXml/itemProps2.xml><?xml version="1.0" encoding="utf-8"?>
<ds:datastoreItem xmlns:ds="http://schemas.openxmlformats.org/officeDocument/2006/customXml" ds:itemID="{53AC751A-39ED-452D-AF8C-D398BB3F6897}"/>
</file>

<file path=customXml/itemProps3.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4.xml><?xml version="1.0" encoding="utf-8"?>
<ds:datastoreItem xmlns:ds="http://schemas.openxmlformats.org/officeDocument/2006/customXml" ds:itemID="{3FB3BF43-4766-4C3E-8A1C-2FF69F0B0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Word for the web</ap:Application>
  <ap:DocSecurity>0</ap:DocSecurity>
  <ap:ScaleCrop>false</ap:ScaleCrop>
  <ap:Company>Kaplan International Colleges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Roach</dc:creator>
  <cp:keywords/>
  <cp:lastModifiedBy>Elizabeth Morrison</cp:lastModifiedBy>
  <cp:revision>4</cp:revision>
  <dcterms:created xsi:type="dcterms:W3CDTF">2019-10-09T17:03:00Z</dcterms:created>
  <dcterms:modified xsi:type="dcterms:W3CDTF">2022-02-07T00:53:25Z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0x010100F18BB18F4248E440903DB335DF4367D8</vt:lpwstr>
  </property>
  <property fmtid="{D5CDD505-2E9C-101B-9397-08002B2CF9AE}" pid="3" name="Order">
    <vt:r8>3528000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 Type">
    <vt:lpwstr>Learning Material</vt:lpwstr>
  </property>
</Properties>
</file>