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E139" w14:textId="7BAC8B9A" w:rsidR="00A671B3" w:rsidRPr="00163C68" w:rsidRDefault="006A5EA1" w:rsidP="00163C68">
      <w:pPr>
        <w:pStyle w:val="Subtitle"/>
        <w:rPr>
          <w:iCs w:val="0"/>
          <w:color w:val="282878"/>
          <w:kern w:val="32"/>
          <w:szCs w:val="32"/>
          <w:lang w:val="en-GB"/>
        </w:rPr>
      </w:pPr>
      <w:r>
        <w:rPr>
          <w:iCs w:val="0"/>
          <w:color w:val="282878"/>
          <w:kern w:val="32"/>
          <w:szCs w:val="32"/>
          <w:lang w:val="en-GB"/>
        </w:rPr>
        <w:t>Identifying the Literature</w:t>
      </w:r>
    </w:p>
    <w:p w14:paraId="6DBE26F0" w14:textId="0856D703" w:rsidR="00830FF3" w:rsidRDefault="006A5EA1"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Literature Review Gap Fill</w:t>
      </w:r>
    </w:p>
    <w:p w14:paraId="4A27AE41" w14:textId="37ED0969" w:rsidR="00774905" w:rsidRPr="006A5EA1" w:rsidRDefault="00774905" w:rsidP="006A5EA1">
      <w:pPr>
        <w:spacing w:before="100" w:beforeAutospacing="1" w:after="100" w:afterAutospacing="1" w:line="276" w:lineRule="auto"/>
        <w:rPr>
          <w:rFonts w:eastAsia="Times New Roman"/>
          <w:sz w:val="22"/>
          <w:szCs w:val="22"/>
          <w:lang w:eastAsia="en-GB"/>
        </w:rPr>
      </w:pPr>
      <w:r w:rsidRPr="00774905">
        <w:rPr>
          <w:rFonts w:eastAsia="Times New Roman"/>
          <w:lang w:eastAsia="en-GB"/>
        </w:rPr>
        <w:t xml:space="preserve"> </w:t>
      </w:r>
      <w:r w:rsidRPr="00774905">
        <w:rPr>
          <w:rFonts w:eastAsia="Times New Roman"/>
          <w:lang w:eastAsia="en-GB"/>
        </w:rPr>
        <w:br/>
      </w:r>
      <w:r w:rsidRPr="00774905">
        <w:rPr>
          <w:rFonts w:eastAsia="Times New Roman"/>
          <w:lang w:eastAsia="en-GB"/>
        </w:rPr>
        <w:br/>
      </w:r>
      <w:r w:rsidRPr="006A5EA1">
        <w:rPr>
          <w:rFonts w:eastAsia="Times New Roman"/>
          <w:sz w:val="22"/>
          <w:szCs w:val="22"/>
          <w:lang w:eastAsia="en-GB"/>
        </w:rPr>
        <w:t xml:space="preserve">Here is an example of a </w:t>
      </w:r>
      <w:r w:rsidRPr="006A5EA1">
        <w:rPr>
          <w:rFonts w:eastAsia="Times New Roman"/>
          <w:b/>
          <w:bCs/>
          <w:sz w:val="22"/>
          <w:szCs w:val="22"/>
          <w:lang w:eastAsia="en-GB"/>
        </w:rPr>
        <w:t xml:space="preserve">Literature </w:t>
      </w:r>
      <w:r w:rsidR="001040AD">
        <w:rPr>
          <w:rFonts w:eastAsia="Times New Roman"/>
          <w:b/>
          <w:bCs/>
          <w:sz w:val="22"/>
          <w:szCs w:val="22"/>
          <w:lang w:eastAsia="en-GB"/>
        </w:rPr>
        <w:t>R</w:t>
      </w:r>
      <w:r w:rsidRPr="006A5EA1">
        <w:rPr>
          <w:rFonts w:eastAsia="Times New Roman"/>
          <w:b/>
          <w:bCs/>
          <w:sz w:val="22"/>
          <w:szCs w:val="22"/>
          <w:lang w:eastAsia="en-GB"/>
        </w:rPr>
        <w:t>eview</w:t>
      </w:r>
      <w:r w:rsidRPr="006A5EA1">
        <w:rPr>
          <w:rFonts w:eastAsia="Times New Roman"/>
          <w:sz w:val="22"/>
          <w:szCs w:val="22"/>
          <w:lang w:eastAsia="en-GB"/>
        </w:rPr>
        <w:t xml:space="preserve">, on the subject of </w:t>
      </w:r>
      <w:r w:rsidRPr="006A5EA1">
        <w:rPr>
          <w:rFonts w:eastAsia="Times New Roman"/>
          <w:i/>
          <w:iCs/>
          <w:sz w:val="22"/>
          <w:szCs w:val="22"/>
          <w:lang w:eastAsia="en-GB"/>
        </w:rPr>
        <w:t>Language &amp; Gender.</w:t>
      </w:r>
      <w:r w:rsidRPr="006A5EA1">
        <w:rPr>
          <w:rFonts w:eastAsia="Times New Roman"/>
          <w:sz w:val="22"/>
          <w:szCs w:val="22"/>
          <w:lang w:eastAsia="en-GB"/>
        </w:rPr>
        <w:t xml:space="preserve"> It was written by Alastair Pennycook, as an example for his students.</w:t>
      </w:r>
      <w:bookmarkStart w:id="0" w:name="LANGUAGE_AND_GENDER:_A_brief_Critical_Re"/>
      <w:bookmarkEnd w:id="0"/>
    </w:p>
    <w:p w14:paraId="6F54C3EF" w14:textId="55AAF3BD" w:rsidR="00774905" w:rsidRPr="00774905" w:rsidRDefault="006A5EA1" w:rsidP="00774905">
      <w:pPr>
        <w:spacing w:before="100" w:beforeAutospacing="1" w:after="100" w:afterAutospacing="1" w:line="276" w:lineRule="auto"/>
        <w:jc w:val="center"/>
        <w:rPr>
          <w:rFonts w:eastAsia="Times New Roman"/>
          <w:lang w:eastAsia="en-GB"/>
        </w:rPr>
      </w:pPr>
      <w:r w:rsidRPr="00774905">
        <w:rPr>
          <w:rFonts w:eastAsia="Times New Roman"/>
          <w:noProof/>
          <w:sz w:val="24"/>
          <w:szCs w:val="24"/>
        </w:rPr>
        <mc:AlternateContent>
          <mc:Choice Requires="wps">
            <w:drawing>
              <wp:anchor distT="0" distB="0" distL="114300" distR="114300" simplePos="0" relativeHeight="251659264" behindDoc="0" locked="0" layoutInCell="1" allowOverlap="1" wp14:anchorId="01C32A4F" wp14:editId="204542FF">
                <wp:simplePos x="0" y="0"/>
                <wp:positionH relativeFrom="column">
                  <wp:posOffset>901065</wp:posOffset>
                </wp:positionH>
                <wp:positionV relativeFrom="paragraph">
                  <wp:posOffset>50165</wp:posOffset>
                </wp:positionV>
                <wp:extent cx="5229860" cy="1307465"/>
                <wp:effectExtent l="0" t="0" r="8255"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1307465"/>
                        </a:xfrm>
                        <a:prstGeom prst="rect">
                          <a:avLst/>
                        </a:prstGeom>
                        <a:solidFill>
                          <a:srgbClr val="FFFFFF"/>
                        </a:solidFill>
                        <a:ln w="9525">
                          <a:solidFill>
                            <a:srgbClr val="000000"/>
                          </a:solidFill>
                          <a:miter lim="800000"/>
                          <a:headEnd/>
                          <a:tailEnd/>
                        </a:ln>
                      </wps:spPr>
                      <wps:txbx>
                        <w:txbxContent>
                          <w:p w14:paraId="7261A1D6" w14:textId="77777777" w:rsidR="00774905" w:rsidRPr="006A5EA1" w:rsidRDefault="00774905" w:rsidP="00774905">
                            <w:pPr>
                              <w:spacing w:before="100" w:beforeAutospacing="1" w:after="100" w:afterAutospacing="1"/>
                              <w:rPr>
                                <w:b/>
                                <w:bCs/>
                                <w:i/>
                                <w:iCs/>
                                <w:lang w:eastAsia="en-GB"/>
                              </w:rPr>
                            </w:pPr>
                            <w:r>
                              <w:rPr>
                                <w:rFonts w:ascii="Calibri" w:hAnsi="Calibri"/>
                                <w:lang w:eastAsia="en-GB"/>
                              </w:rPr>
                              <w:tab/>
                            </w:r>
                            <w:proofErr w:type="gramStart"/>
                            <w:r w:rsidRPr="006A5EA1">
                              <w:rPr>
                                <w:lang w:eastAsia="en-GB"/>
                              </w:rPr>
                              <w:t>Thus</w:t>
                            </w:r>
                            <w:proofErr w:type="gramEnd"/>
                            <w:r w:rsidRPr="006A5EA1">
                              <w:rPr>
                                <w:lang w:eastAsia="en-GB"/>
                              </w:rPr>
                              <w:tab/>
                              <w:t>by no means mutually exclusive</w:t>
                            </w:r>
                            <w:r w:rsidRPr="006A5EA1">
                              <w:rPr>
                                <w:lang w:eastAsia="en-GB"/>
                              </w:rPr>
                              <w:tab/>
                            </w:r>
                            <w:r w:rsidRPr="006A5EA1">
                              <w:rPr>
                                <w:lang w:eastAsia="en-GB"/>
                              </w:rPr>
                              <w:tab/>
                              <w:t>Accordingly</w:t>
                            </w:r>
                            <w:r w:rsidRPr="006A5EA1">
                              <w:rPr>
                                <w:lang w:eastAsia="en-GB"/>
                              </w:rPr>
                              <w:tab/>
                            </w:r>
                          </w:p>
                          <w:p w14:paraId="268A777E" w14:textId="77777777" w:rsidR="00774905" w:rsidRPr="006A5EA1" w:rsidRDefault="00774905" w:rsidP="00774905">
                            <w:pPr>
                              <w:spacing w:before="100" w:beforeAutospacing="1" w:after="100" w:afterAutospacing="1"/>
                              <w:rPr>
                                <w:lang w:eastAsia="en-GB"/>
                              </w:rPr>
                            </w:pPr>
                            <w:r w:rsidRPr="006A5EA1">
                              <w:rPr>
                                <w:lang w:eastAsia="en-GB"/>
                              </w:rPr>
                              <w:t>it is also important</w:t>
                            </w:r>
                            <w:r w:rsidRPr="006A5EA1">
                              <w:rPr>
                                <w:lang w:eastAsia="en-GB"/>
                              </w:rPr>
                              <w:tab/>
                              <w:t>Some studies, however, have taken a different approach</w:t>
                            </w:r>
                          </w:p>
                          <w:p w14:paraId="2916F437" w14:textId="77777777" w:rsidR="00774905" w:rsidRPr="006A5EA1" w:rsidRDefault="00774905" w:rsidP="00774905">
                            <w:pPr>
                              <w:spacing w:before="100" w:beforeAutospacing="1" w:after="100" w:afterAutospacing="1"/>
                              <w:jc w:val="center"/>
                              <w:rPr>
                                <w:lang w:eastAsia="en-GB"/>
                              </w:rPr>
                            </w:pPr>
                            <w:r w:rsidRPr="006A5EA1">
                              <w:rPr>
                                <w:lang w:eastAsia="en-GB"/>
                              </w:rPr>
                              <w:t>While some of the more popular work</w:t>
                            </w:r>
                            <w:r w:rsidRPr="006A5EA1">
                              <w:rPr>
                                <w:lang w:eastAsia="en-GB"/>
                              </w:rPr>
                              <w:tab/>
                            </w:r>
                            <w:r w:rsidRPr="006A5EA1">
                              <w:rPr>
                                <w:lang w:eastAsia="en-GB"/>
                              </w:rPr>
                              <w:tab/>
                              <w:t>by no means mutually exclusive</w:t>
                            </w:r>
                          </w:p>
                          <w:p w14:paraId="70A3BAD8" w14:textId="77777777" w:rsidR="00774905" w:rsidRPr="006A5EA1" w:rsidRDefault="00774905" w:rsidP="00774905">
                            <w:pPr>
                              <w:spacing w:before="100" w:beforeAutospacing="1" w:after="100" w:afterAutospacing="1"/>
                            </w:pPr>
                            <w:r w:rsidRPr="006A5EA1">
                              <w:rPr>
                                <w:lang w:eastAsia="en-GB"/>
                              </w:rPr>
                              <w:t>While</w:t>
                            </w:r>
                            <w:r w:rsidRPr="006A5EA1">
                              <w:rPr>
                                <w:lang w:eastAsia="en-GB"/>
                              </w:rPr>
                              <w:tab/>
                              <w:t>it is important on the one hand</w:t>
                            </w:r>
                            <w:r w:rsidRPr="006A5EA1">
                              <w:rPr>
                                <w:lang w:eastAsia="en-GB"/>
                              </w:rPr>
                              <w:tab/>
                              <w:t>Research has shown      Much of the earlier work</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32A4F" id="_x0000_t202" coordsize="21600,21600" o:spt="202" path="m,l,21600r21600,l21600,xe">
                <v:stroke joinstyle="miter"/>
                <v:path gradientshapeok="t" o:connecttype="rect"/>
              </v:shapetype>
              <v:shape id="Text Box 1" o:spid="_x0000_s1026" type="#_x0000_t202" style="position:absolute;left:0;text-align:left;margin-left:70.95pt;margin-top:3.95pt;width:411.8pt;height:10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">
                <v:textbox>
                  <w:txbxContent>
                    <w:p w14:paraId="7261A1D6" w14:textId="77777777" w:rsidR="00774905" w:rsidRPr="006A5EA1" w:rsidRDefault="00774905" w:rsidP="00774905">
                      <w:pPr>
                        <w:spacing w:before="100" w:beforeAutospacing="1" w:after="100" w:afterAutospacing="1"/>
                        <w:rPr>
                          <w:b/>
                          <w:bCs/>
                          <w:i/>
                          <w:iCs/>
                          <w:lang w:eastAsia="en-GB"/>
                        </w:rPr>
                      </w:pPr>
                      <w:r>
                        <w:rPr>
                          <w:rFonts w:ascii="Calibri" w:hAnsi="Calibri"/>
                          <w:lang w:eastAsia="en-GB"/>
                        </w:rPr>
                        <w:tab/>
                      </w:r>
                      <w:proofErr w:type="gramStart"/>
                      <w:r w:rsidRPr="006A5EA1">
                        <w:rPr>
                          <w:lang w:eastAsia="en-GB"/>
                        </w:rPr>
                        <w:t>Thus</w:t>
                      </w:r>
                      <w:proofErr w:type="gramEnd"/>
                      <w:r w:rsidRPr="006A5EA1">
                        <w:rPr>
                          <w:lang w:eastAsia="en-GB"/>
                        </w:rPr>
                        <w:tab/>
                        <w:t>by no means mutually exclusive</w:t>
                      </w:r>
                      <w:r w:rsidRPr="006A5EA1">
                        <w:rPr>
                          <w:lang w:eastAsia="en-GB"/>
                        </w:rPr>
                        <w:tab/>
                      </w:r>
                      <w:r w:rsidRPr="006A5EA1">
                        <w:rPr>
                          <w:lang w:eastAsia="en-GB"/>
                        </w:rPr>
                        <w:tab/>
                        <w:t>Accordingly</w:t>
                      </w:r>
                      <w:r w:rsidRPr="006A5EA1">
                        <w:rPr>
                          <w:lang w:eastAsia="en-GB"/>
                        </w:rPr>
                        <w:tab/>
                      </w:r>
                    </w:p>
                    <w:p w14:paraId="268A777E" w14:textId="77777777" w:rsidR="00774905" w:rsidRPr="006A5EA1" w:rsidRDefault="00774905" w:rsidP="00774905">
                      <w:pPr>
                        <w:spacing w:before="100" w:beforeAutospacing="1" w:after="100" w:afterAutospacing="1"/>
                        <w:rPr>
                          <w:lang w:eastAsia="en-GB"/>
                        </w:rPr>
                      </w:pPr>
                      <w:r w:rsidRPr="006A5EA1">
                        <w:rPr>
                          <w:lang w:eastAsia="en-GB"/>
                        </w:rPr>
                        <w:t>it is also important</w:t>
                      </w:r>
                      <w:r w:rsidRPr="006A5EA1">
                        <w:rPr>
                          <w:lang w:eastAsia="en-GB"/>
                        </w:rPr>
                        <w:tab/>
                        <w:t>Some studies, however, have taken a different approach</w:t>
                      </w:r>
                    </w:p>
                    <w:p w14:paraId="2916F437" w14:textId="77777777" w:rsidR="00774905" w:rsidRPr="006A5EA1" w:rsidRDefault="00774905" w:rsidP="00774905">
                      <w:pPr>
                        <w:spacing w:before="100" w:beforeAutospacing="1" w:after="100" w:afterAutospacing="1"/>
                        <w:jc w:val="center"/>
                        <w:rPr>
                          <w:lang w:eastAsia="en-GB"/>
                        </w:rPr>
                      </w:pPr>
                      <w:r w:rsidRPr="006A5EA1">
                        <w:rPr>
                          <w:lang w:eastAsia="en-GB"/>
                        </w:rPr>
                        <w:t>While some of the more popular work</w:t>
                      </w:r>
                      <w:r w:rsidRPr="006A5EA1">
                        <w:rPr>
                          <w:lang w:eastAsia="en-GB"/>
                        </w:rPr>
                        <w:tab/>
                      </w:r>
                      <w:r w:rsidRPr="006A5EA1">
                        <w:rPr>
                          <w:lang w:eastAsia="en-GB"/>
                        </w:rPr>
                        <w:tab/>
                        <w:t>by no means mutually exclusive</w:t>
                      </w:r>
                    </w:p>
                    <w:p w14:paraId="70A3BAD8" w14:textId="77777777" w:rsidR="00774905" w:rsidRPr="006A5EA1" w:rsidRDefault="00774905" w:rsidP="00774905">
                      <w:pPr>
                        <w:spacing w:before="100" w:beforeAutospacing="1" w:after="100" w:afterAutospacing="1"/>
                      </w:pPr>
                      <w:r w:rsidRPr="006A5EA1">
                        <w:rPr>
                          <w:lang w:eastAsia="en-GB"/>
                        </w:rPr>
                        <w:t>While</w:t>
                      </w:r>
                      <w:r w:rsidRPr="006A5EA1">
                        <w:rPr>
                          <w:lang w:eastAsia="en-GB"/>
                        </w:rPr>
                        <w:tab/>
                        <w:t>it is important on the one hand</w:t>
                      </w:r>
                      <w:r w:rsidRPr="006A5EA1">
                        <w:rPr>
                          <w:lang w:eastAsia="en-GB"/>
                        </w:rPr>
                        <w:tab/>
                        <w:t>Research has shown      Much of the earlier work</w:t>
                      </w:r>
                    </w:p>
                  </w:txbxContent>
                </v:textbox>
                <w10:wrap type="square"/>
              </v:shape>
            </w:pict>
          </mc:Fallback>
        </mc:AlternateContent>
      </w:r>
    </w:p>
    <w:p w14:paraId="21ED9D3D" w14:textId="77777777" w:rsidR="00774905" w:rsidRPr="00774905" w:rsidRDefault="00774905" w:rsidP="00774905">
      <w:pPr>
        <w:spacing w:line="276" w:lineRule="auto"/>
        <w:jc w:val="center"/>
        <w:rPr>
          <w:rFonts w:eastAsia="Times New Roman"/>
          <w:b/>
          <w:bCs/>
          <w:i/>
          <w:iCs/>
          <w:lang w:eastAsia="en-GB"/>
        </w:rPr>
      </w:pPr>
    </w:p>
    <w:p w14:paraId="33B5F8EA" w14:textId="77777777" w:rsidR="00774905" w:rsidRPr="00774905" w:rsidRDefault="00774905" w:rsidP="00774905">
      <w:pPr>
        <w:spacing w:after="100" w:afterAutospacing="1" w:line="276" w:lineRule="auto"/>
        <w:jc w:val="center"/>
        <w:rPr>
          <w:rFonts w:eastAsia="Times New Roman"/>
          <w:b/>
          <w:bCs/>
          <w:i/>
          <w:iCs/>
          <w:lang w:eastAsia="en-GB"/>
        </w:rPr>
      </w:pPr>
    </w:p>
    <w:p w14:paraId="671AF4FC" w14:textId="77777777" w:rsidR="00774905" w:rsidRPr="00774905" w:rsidRDefault="00774905" w:rsidP="00774905">
      <w:pPr>
        <w:spacing w:after="100" w:afterAutospacing="1" w:line="276" w:lineRule="auto"/>
        <w:jc w:val="center"/>
        <w:rPr>
          <w:rFonts w:eastAsia="Times New Roman"/>
          <w:b/>
          <w:bCs/>
          <w:i/>
          <w:iCs/>
          <w:lang w:eastAsia="en-GB"/>
        </w:rPr>
      </w:pPr>
    </w:p>
    <w:p w14:paraId="1035486F" w14:textId="77777777" w:rsidR="00774905" w:rsidRPr="00774905" w:rsidRDefault="00774905" w:rsidP="00774905">
      <w:pPr>
        <w:spacing w:after="100" w:afterAutospacing="1" w:line="276" w:lineRule="auto"/>
        <w:rPr>
          <w:rFonts w:eastAsia="Times New Roman"/>
          <w:b/>
          <w:bCs/>
          <w:i/>
          <w:iCs/>
          <w:lang w:eastAsia="en-GB"/>
        </w:rPr>
      </w:pPr>
    </w:p>
    <w:p w14:paraId="12E8A5D2" w14:textId="77777777" w:rsidR="00774905" w:rsidRPr="007B29AE" w:rsidRDefault="00774905" w:rsidP="007B29AE">
      <w:pPr>
        <w:rPr>
          <w:sz w:val="22"/>
          <w:szCs w:val="22"/>
        </w:rPr>
      </w:pPr>
    </w:p>
    <w:p w14:paraId="49579453" w14:textId="77777777" w:rsidR="007B29AE" w:rsidRDefault="007B29AE" w:rsidP="007B29AE">
      <w:pPr>
        <w:rPr>
          <w:b/>
          <w:bCs/>
          <w:sz w:val="22"/>
          <w:szCs w:val="22"/>
        </w:rPr>
      </w:pPr>
    </w:p>
    <w:p w14:paraId="56DADB72" w14:textId="2684A26A" w:rsidR="007B29AE" w:rsidRPr="007B29AE" w:rsidRDefault="002734EE" w:rsidP="007B29AE">
      <w:pPr>
        <w:rPr>
          <w:sz w:val="22"/>
          <w:szCs w:val="22"/>
        </w:rPr>
      </w:pPr>
      <w:r w:rsidRPr="007B29AE">
        <w:rPr>
          <w:b/>
          <w:bCs/>
          <w:sz w:val="22"/>
          <w:szCs w:val="22"/>
        </w:rPr>
        <w:t>TASK</w:t>
      </w:r>
      <w:r w:rsidR="007B29AE" w:rsidRPr="007B29AE">
        <w:rPr>
          <w:b/>
          <w:bCs/>
          <w:sz w:val="22"/>
          <w:szCs w:val="22"/>
        </w:rPr>
        <w:t xml:space="preserve"> 1:</w:t>
      </w:r>
      <w:r w:rsidR="007B29AE" w:rsidRPr="007B29AE">
        <w:rPr>
          <w:sz w:val="22"/>
          <w:szCs w:val="22"/>
        </w:rPr>
        <w:t xml:space="preserve"> Fill in the gaps.</w:t>
      </w:r>
    </w:p>
    <w:p w14:paraId="25A85BAF" w14:textId="77777777" w:rsidR="007B29AE" w:rsidRPr="007B29AE" w:rsidRDefault="007B29AE" w:rsidP="007B29AE">
      <w:pPr>
        <w:rPr>
          <w:sz w:val="22"/>
          <w:szCs w:val="22"/>
        </w:rPr>
      </w:pPr>
    </w:p>
    <w:p w14:paraId="7B8FCCA4" w14:textId="41C5C724" w:rsidR="007B29AE" w:rsidRPr="007B29AE" w:rsidRDefault="007B29AE" w:rsidP="007B29AE">
      <w:pPr>
        <w:rPr>
          <w:sz w:val="22"/>
          <w:szCs w:val="22"/>
        </w:rPr>
      </w:pPr>
      <w:r w:rsidRPr="007B29AE">
        <w:rPr>
          <w:b/>
          <w:bCs/>
          <w:sz w:val="22"/>
          <w:szCs w:val="22"/>
        </w:rPr>
        <w:t>TASK 2:</w:t>
      </w:r>
      <w:r w:rsidRPr="007B29AE">
        <w:rPr>
          <w:sz w:val="22"/>
          <w:szCs w:val="22"/>
        </w:rPr>
        <w:t xml:space="preserve"> </w:t>
      </w:r>
      <w:proofErr w:type="spellStart"/>
      <w:r w:rsidRPr="007B29AE">
        <w:rPr>
          <w:sz w:val="22"/>
          <w:szCs w:val="22"/>
        </w:rPr>
        <w:t>Analyse</w:t>
      </w:r>
      <w:proofErr w:type="spellEnd"/>
      <w:r w:rsidRPr="007B29AE">
        <w:rPr>
          <w:sz w:val="22"/>
          <w:szCs w:val="22"/>
        </w:rPr>
        <w:t xml:space="preserve"> the structure.</w:t>
      </w:r>
    </w:p>
    <w:p w14:paraId="21EA0C50" w14:textId="48DC7B29" w:rsidR="002734EE" w:rsidRPr="007B29AE" w:rsidRDefault="002734EE" w:rsidP="007B29AE">
      <w:pPr>
        <w:rPr>
          <w:sz w:val="22"/>
          <w:szCs w:val="22"/>
        </w:rPr>
      </w:pPr>
    </w:p>
    <w:p w14:paraId="4D6DB96C" w14:textId="47466E95" w:rsidR="007B29AE" w:rsidRDefault="007B29AE" w:rsidP="007B29AE">
      <w:pPr>
        <w:rPr>
          <w:sz w:val="22"/>
          <w:szCs w:val="22"/>
        </w:rPr>
      </w:pPr>
      <w:r w:rsidRPr="007B29AE">
        <w:rPr>
          <w:sz w:val="22"/>
          <w:szCs w:val="22"/>
        </w:rPr>
        <w:t>2.1.</w:t>
      </w:r>
      <w:r>
        <w:rPr>
          <w:sz w:val="22"/>
          <w:szCs w:val="22"/>
        </w:rPr>
        <w:t xml:space="preserve"> The review is </w:t>
      </w:r>
      <w:proofErr w:type="spellStart"/>
      <w:r>
        <w:rPr>
          <w:sz w:val="22"/>
          <w:szCs w:val="22"/>
        </w:rPr>
        <w:t>organised</w:t>
      </w:r>
      <w:proofErr w:type="spellEnd"/>
      <w:r>
        <w:rPr>
          <w:sz w:val="22"/>
          <w:szCs w:val="22"/>
        </w:rPr>
        <w:t xml:space="preserve"> around two main themes found in the literature. What are they? </w:t>
      </w:r>
    </w:p>
    <w:p w14:paraId="740D2B88" w14:textId="5BA8F3A5" w:rsidR="007B29AE" w:rsidRDefault="007B29AE" w:rsidP="007B29AE">
      <w:pPr>
        <w:rPr>
          <w:sz w:val="22"/>
          <w:szCs w:val="22"/>
        </w:rPr>
      </w:pPr>
      <w:r>
        <w:rPr>
          <w:sz w:val="22"/>
          <w:szCs w:val="22"/>
        </w:rPr>
        <w:t>2.2. What is the order/sequence of the themes, and why?</w:t>
      </w:r>
    </w:p>
    <w:p w14:paraId="204B9DD9" w14:textId="69A4B489" w:rsidR="007B29AE" w:rsidRDefault="007B29AE" w:rsidP="007B29AE">
      <w:pPr>
        <w:rPr>
          <w:sz w:val="22"/>
          <w:szCs w:val="22"/>
        </w:rPr>
      </w:pPr>
      <w:r>
        <w:rPr>
          <w:sz w:val="22"/>
          <w:szCs w:val="22"/>
        </w:rPr>
        <w:t>2.3. How many sources are discussed within each theme?</w:t>
      </w:r>
    </w:p>
    <w:p w14:paraId="66D64BF8" w14:textId="7B97EB30" w:rsidR="007B29AE" w:rsidRDefault="007B29AE" w:rsidP="007B29AE">
      <w:pPr>
        <w:rPr>
          <w:sz w:val="22"/>
          <w:szCs w:val="22"/>
        </w:rPr>
      </w:pPr>
      <w:r>
        <w:rPr>
          <w:sz w:val="22"/>
          <w:szCs w:val="22"/>
        </w:rPr>
        <w:t>2.4. How does the writer link between the sources within paragraphs?</w:t>
      </w:r>
    </w:p>
    <w:p w14:paraId="0E268002" w14:textId="76099208" w:rsidR="007B29AE" w:rsidRDefault="007B29AE" w:rsidP="007B29AE">
      <w:pPr>
        <w:rPr>
          <w:sz w:val="22"/>
          <w:szCs w:val="22"/>
        </w:rPr>
      </w:pPr>
    </w:p>
    <w:p w14:paraId="68343DC8" w14:textId="70A3FAEA" w:rsidR="007B29AE" w:rsidRDefault="007B29AE" w:rsidP="007B29AE">
      <w:pPr>
        <w:rPr>
          <w:sz w:val="22"/>
          <w:szCs w:val="22"/>
        </w:rPr>
      </w:pPr>
      <w:r w:rsidRPr="006E6398">
        <w:rPr>
          <w:b/>
          <w:bCs/>
          <w:sz w:val="22"/>
          <w:szCs w:val="22"/>
        </w:rPr>
        <w:t>TASK 3:</w:t>
      </w:r>
      <w:r>
        <w:rPr>
          <w:sz w:val="22"/>
          <w:szCs w:val="22"/>
        </w:rPr>
        <w:t xml:space="preserve"> Identify the evalua</w:t>
      </w:r>
      <w:r w:rsidR="006E6398">
        <w:rPr>
          <w:sz w:val="22"/>
          <w:szCs w:val="22"/>
        </w:rPr>
        <w:t xml:space="preserve">tive elements. </w:t>
      </w:r>
    </w:p>
    <w:p w14:paraId="5DDDCF81" w14:textId="216E624E" w:rsidR="006E6398" w:rsidRDefault="006E6398" w:rsidP="007B29AE">
      <w:pPr>
        <w:rPr>
          <w:sz w:val="22"/>
          <w:szCs w:val="22"/>
        </w:rPr>
      </w:pPr>
    </w:p>
    <w:p w14:paraId="22BE0708" w14:textId="6D34D59C" w:rsidR="006E6398" w:rsidRDefault="006E6398" w:rsidP="007B29AE">
      <w:pPr>
        <w:rPr>
          <w:sz w:val="22"/>
          <w:szCs w:val="22"/>
        </w:rPr>
      </w:pPr>
      <w:r>
        <w:rPr>
          <w:sz w:val="22"/>
          <w:szCs w:val="22"/>
        </w:rPr>
        <w:t>3.1. Does the writer discuss the topic, or the sources?</w:t>
      </w:r>
    </w:p>
    <w:p w14:paraId="1EF3B91C" w14:textId="0B56C4B4" w:rsidR="006E6398" w:rsidRDefault="006E6398" w:rsidP="007B29AE">
      <w:pPr>
        <w:rPr>
          <w:sz w:val="22"/>
          <w:szCs w:val="22"/>
        </w:rPr>
      </w:pPr>
      <w:r>
        <w:rPr>
          <w:sz w:val="22"/>
          <w:szCs w:val="22"/>
        </w:rPr>
        <w:t>3.2. Find instances where the strengths and limitations of the sources are critically evaluated.</w:t>
      </w:r>
    </w:p>
    <w:p w14:paraId="1AC4DD6C" w14:textId="3AB72A9B" w:rsidR="006E6398" w:rsidRPr="007B29AE" w:rsidRDefault="006E6398" w:rsidP="007B29AE">
      <w:pPr>
        <w:rPr>
          <w:sz w:val="22"/>
          <w:szCs w:val="22"/>
        </w:rPr>
      </w:pPr>
      <w:r>
        <w:rPr>
          <w:sz w:val="22"/>
          <w:szCs w:val="22"/>
        </w:rPr>
        <w:t>3.3. Find instances where the writer points to the gaps in the literature. Does he specify how his own research will address those?</w:t>
      </w:r>
    </w:p>
    <w:p w14:paraId="07C8C525" w14:textId="77777777" w:rsidR="002734EE" w:rsidRPr="002734EE" w:rsidRDefault="002734EE" w:rsidP="007B29AE">
      <w:pPr>
        <w:pStyle w:val="NoSpacing"/>
      </w:pPr>
    </w:p>
    <w:p w14:paraId="7E863E46" w14:textId="77777777" w:rsidR="002734EE" w:rsidRPr="002734EE" w:rsidRDefault="002734EE" w:rsidP="007B29AE">
      <w:pPr>
        <w:pStyle w:val="NoSpacing"/>
      </w:pPr>
    </w:p>
    <w:p w14:paraId="022E2B61" w14:textId="228D4E0C" w:rsidR="00774905" w:rsidRPr="00E73645" w:rsidRDefault="00774905" w:rsidP="00774905">
      <w:pPr>
        <w:spacing w:after="100" w:afterAutospacing="1" w:line="276" w:lineRule="auto"/>
        <w:jc w:val="center"/>
        <w:rPr>
          <w:rFonts w:eastAsia="Times New Roman"/>
          <w:b/>
          <w:bCs/>
          <w:sz w:val="22"/>
          <w:szCs w:val="22"/>
          <w:lang w:eastAsia="en-GB"/>
        </w:rPr>
      </w:pPr>
      <w:r w:rsidRPr="00E73645">
        <w:rPr>
          <w:rFonts w:eastAsia="Times New Roman"/>
          <w:b/>
          <w:bCs/>
          <w:sz w:val="22"/>
          <w:szCs w:val="22"/>
          <w:lang w:eastAsia="en-GB"/>
        </w:rPr>
        <w:t>LANGUAGE AND GENDER: A brief Literature Review</w:t>
      </w:r>
    </w:p>
    <w:p w14:paraId="4042E3A8" w14:textId="77777777" w:rsidR="00774905" w:rsidRPr="00E73645" w:rsidRDefault="00774905" w:rsidP="002734EE">
      <w:pPr>
        <w:spacing w:before="240" w:after="240" w:line="276" w:lineRule="auto"/>
        <w:jc w:val="both"/>
        <w:rPr>
          <w:rFonts w:eastAsia="Times New Roman"/>
          <w:sz w:val="21"/>
          <w:szCs w:val="21"/>
          <w:lang w:eastAsia="en-GB"/>
        </w:rPr>
      </w:pPr>
      <w:r w:rsidRPr="00E73645">
        <w:rPr>
          <w:rFonts w:eastAsia="Times New Roman"/>
          <w:sz w:val="21"/>
          <w:szCs w:val="21"/>
          <w:lang w:eastAsia="en-GB"/>
        </w:rPr>
        <w:t>With the general growth of feminist work in many academic fields, it is hardly surprising that the relationship between language and gender has attracted considerable attention in recent years. In an attempt to go beyond "</w:t>
      </w:r>
      <w:proofErr w:type="spellStart"/>
      <w:r w:rsidRPr="00E73645">
        <w:rPr>
          <w:rFonts w:eastAsia="Times New Roman"/>
          <w:sz w:val="21"/>
          <w:szCs w:val="21"/>
          <w:lang w:eastAsia="en-GB"/>
        </w:rPr>
        <w:t>folklinguistic</w:t>
      </w:r>
      <w:proofErr w:type="spellEnd"/>
      <w:r w:rsidRPr="00E73645">
        <w:rPr>
          <w:rFonts w:eastAsia="Times New Roman"/>
          <w:sz w:val="21"/>
          <w:szCs w:val="21"/>
          <w:lang w:eastAsia="en-GB"/>
        </w:rPr>
        <w:t xml:space="preserve">" assumptions about how men and women use language (the assumption that women are "talkative", for example), studies have focused on anything from different syntactical, phonological or lexical uses of language to aspects of conversation analysis, such as topic nomination and control, interruptions and other interactional features. ______________some research has focused only on the description of differences, other work has sought to show how linguistic differences both reflect and reproduce social difference._______________, Coates (1988) suggests that research on language and gender can be divided into studies that focus on dominance and those that focus on difference. </w:t>
      </w:r>
    </w:p>
    <w:p w14:paraId="61247F72" w14:textId="1E535C21" w:rsidR="00774905" w:rsidRPr="00E73645" w:rsidRDefault="00774905" w:rsidP="002734EE">
      <w:pPr>
        <w:spacing w:before="240" w:after="240" w:line="276" w:lineRule="auto"/>
        <w:jc w:val="both"/>
        <w:rPr>
          <w:rFonts w:eastAsia="Times New Roman"/>
          <w:sz w:val="21"/>
          <w:szCs w:val="21"/>
          <w:lang w:eastAsia="en-GB"/>
        </w:rPr>
      </w:pPr>
      <w:r w:rsidRPr="00E73645">
        <w:rPr>
          <w:rFonts w:eastAsia="Times New Roman"/>
          <w:sz w:val="21"/>
          <w:szCs w:val="21"/>
          <w:lang w:eastAsia="en-GB"/>
        </w:rPr>
        <w:lastRenderedPageBreak/>
        <w:t xml:space="preserve">____________________emphasized dominance. Lakoff's (1975) pioneering work suggested that women's speech typically displayed a range of features, such as tag questions, which marked it as inferior and weak.________________ she argued that the type of subordinate speech learned by a young girl "will later be an excuse others use to keep her in a demeaning position, to refuse to treat her seriously as a human being" (1975, p.5). While there are clearly some problems with Lakoff's work - her analysis was not based on empirical research, for example, and the automatic equation of subordinate with `weak' is problematic - the emphasis on dominance has understandably remained at the </w:t>
      </w:r>
      <w:proofErr w:type="spellStart"/>
      <w:r w:rsidR="006E6398">
        <w:rPr>
          <w:rFonts w:eastAsia="Times New Roman"/>
          <w:sz w:val="21"/>
          <w:szCs w:val="21"/>
          <w:lang w:eastAsia="en-GB"/>
        </w:rPr>
        <w:t>c</w:t>
      </w:r>
      <w:r w:rsidRPr="00E73645">
        <w:rPr>
          <w:rFonts w:eastAsia="Times New Roman"/>
          <w:sz w:val="21"/>
          <w:szCs w:val="21"/>
          <w:lang w:eastAsia="en-GB"/>
        </w:rPr>
        <w:t>entre</w:t>
      </w:r>
      <w:proofErr w:type="spellEnd"/>
      <w:r w:rsidRPr="00E73645">
        <w:rPr>
          <w:rFonts w:eastAsia="Times New Roman"/>
          <w:sz w:val="21"/>
          <w:szCs w:val="21"/>
          <w:lang w:eastAsia="en-GB"/>
        </w:rPr>
        <w:t xml:space="preserve"> of much of this work. ______________________how men nominated topics more, interrupted more often, held the floor for longer, and so on (see, for example, Zimmerman and West, 1975). The chief focus of this approach, then, has been to show how patterns of interaction between men and women reflect the dominant position of men in society. </w:t>
      </w:r>
    </w:p>
    <w:p w14:paraId="503A19F8" w14:textId="77777777" w:rsidR="00774905" w:rsidRPr="00E73645" w:rsidRDefault="00774905" w:rsidP="002734EE">
      <w:pPr>
        <w:spacing w:before="240" w:after="240" w:line="276" w:lineRule="auto"/>
        <w:jc w:val="both"/>
        <w:rPr>
          <w:rFonts w:eastAsia="Times New Roman"/>
          <w:sz w:val="21"/>
          <w:szCs w:val="21"/>
          <w:lang w:eastAsia="en-GB"/>
        </w:rPr>
      </w:pPr>
      <w:r w:rsidRPr="00E73645">
        <w:rPr>
          <w:rFonts w:eastAsia="Times New Roman"/>
          <w:sz w:val="21"/>
          <w:szCs w:val="21"/>
          <w:lang w:eastAsia="en-GB"/>
        </w:rPr>
        <w:t xml:space="preserve">___________________________________by looking not so much at power in mixed-sex interactions as at how same-sex groups produce certain types of interaction. In a typical study of this type, </w:t>
      </w:r>
      <w:proofErr w:type="spellStart"/>
      <w:r w:rsidRPr="00E73645">
        <w:rPr>
          <w:rFonts w:eastAsia="Times New Roman"/>
          <w:sz w:val="21"/>
          <w:szCs w:val="21"/>
          <w:lang w:eastAsia="en-GB"/>
        </w:rPr>
        <w:t>Maltz</w:t>
      </w:r>
      <w:proofErr w:type="spellEnd"/>
      <w:r w:rsidRPr="00E73645">
        <w:rPr>
          <w:rFonts w:eastAsia="Times New Roman"/>
          <w:sz w:val="21"/>
          <w:szCs w:val="21"/>
          <w:lang w:eastAsia="en-GB"/>
        </w:rPr>
        <w:t xml:space="preserve"> and </w:t>
      </w:r>
      <w:proofErr w:type="spellStart"/>
      <w:r w:rsidRPr="00E73645">
        <w:rPr>
          <w:rFonts w:eastAsia="Times New Roman"/>
          <w:sz w:val="21"/>
          <w:szCs w:val="21"/>
          <w:lang w:eastAsia="en-GB"/>
        </w:rPr>
        <w:t>Borker</w:t>
      </w:r>
      <w:proofErr w:type="spellEnd"/>
      <w:r w:rsidRPr="00E73645">
        <w:rPr>
          <w:rFonts w:eastAsia="Times New Roman"/>
          <w:sz w:val="21"/>
          <w:szCs w:val="21"/>
          <w:lang w:eastAsia="en-GB"/>
        </w:rPr>
        <w:t xml:space="preserve"> (1982) developed lists of what they described as men's and women's features of language. They argued that these norms of interaction were acquired in same-sex groups rather than mixed-sex groups and that the issue is therefore one of (sub-)cultural miscommunication rather than social inequality. Much of this research has focused on comparisons between, for example, the competitive conversational style of men and the cooperative conversational style of women. </w:t>
      </w:r>
    </w:p>
    <w:p w14:paraId="60032BF7" w14:textId="77777777" w:rsidR="00774905" w:rsidRPr="00E73645" w:rsidRDefault="00774905" w:rsidP="002734EE">
      <w:pPr>
        <w:spacing w:before="240" w:after="240" w:line="276" w:lineRule="auto"/>
        <w:jc w:val="both"/>
        <w:rPr>
          <w:rFonts w:eastAsia="Times New Roman"/>
          <w:sz w:val="21"/>
          <w:szCs w:val="21"/>
          <w:lang w:eastAsia="en-GB"/>
        </w:rPr>
      </w:pPr>
      <w:r w:rsidRPr="00E73645">
        <w:rPr>
          <w:rFonts w:eastAsia="Times New Roman"/>
          <w:sz w:val="21"/>
          <w:szCs w:val="21"/>
          <w:lang w:eastAsia="en-GB"/>
        </w:rPr>
        <w:t xml:space="preserve">_________________________of this type, such as Tannen (1987), lacks a critical dimension, the emphasis on difference has nevertheless been valuable in fostering research into gender subgroup interactions and in emphasizing the need to see women's language use not only as ‘subordinate’ but also as a significant subcultural domain. </w:t>
      </w:r>
    </w:p>
    <w:p w14:paraId="74BA79A5" w14:textId="77777777" w:rsidR="00774905" w:rsidRPr="00E73645" w:rsidRDefault="00774905" w:rsidP="002734EE">
      <w:pPr>
        <w:spacing w:before="240" w:after="240" w:line="276" w:lineRule="auto"/>
        <w:jc w:val="both"/>
        <w:rPr>
          <w:rFonts w:eastAsia="Times New Roman"/>
          <w:sz w:val="21"/>
          <w:szCs w:val="21"/>
          <w:lang w:eastAsia="en-GB"/>
        </w:rPr>
      </w:pPr>
      <w:r w:rsidRPr="00E73645">
        <w:rPr>
          <w:rFonts w:eastAsia="Times New Roman"/>
          <w:sz w:val="21"/>
          <w:szCs w:val="21"/>
          <w:lang w:eastAsia="en-GB"/>
        </w:rPr>
        <w:t xml:space="preserve">Although Coates' (1988) distinction is clearly a useful one, it also seems evident that these two approaches are_____________________________. While_________________________, therefore, not to operate with a simplistic version of power and to consider language and gender only in mixed-group dynamics, _________________________not to treat women's linguistic </w:t>
      </w:r>
      <w:proofErr w:type="spellStart"/>
      <w:r w:rsidRPr="00E73645">
        <w:rPr>
          <w:rFonts w:eastAsia="Times New Roman"/>
          <w:sz w:val="21"/>
          <w:szCs w:val="21"/>
          <w:lang w:eastAsia="en-GB"/>
        </w:rPr>
        <w:t>behaviour</w:t>
      </w:r>
      <w:proofErr w:type="spellEnd"/>
      <w:r w:rsidRPr="00E73645">
        <w:rPr>
          <w:rFonts w:eastAsia="Times New Roman"/>
          <w:sz w:val="21"/>
          <w:szCs w:val="21"/>
          <w:lang w:eastAsia="en-GB"/>
        </w:rPr>
        <w:t xml:space="preserve"> as if it existed outside social relations of power. As Cameron, </w:t>
      </w:r>
      <w:proofErr w:type="spellStart"/>
      <w:r w:rsidRPr="00E73645">
        <w:rPr>
          <w:rFonts w:eastAsia="Times New Roman"/>
          <w:sz w:val="21"/>
          <w:szCs w:val="21"/>
          <w:lang w:eastAsia="en-GB"/>
        </w:rPr>
        <w:t>McAlinden</w:t>
      </w:r>
      <w:proofErr w:type="spellEnd"/>
      <w:r w:rsidRPr="00E73645">
        <w:rPr>
          <w:rFonts w:eastAsia="Times New Roman"/>
          <w:sz w:val="21"/>
          <w:szCs w:val="21"/>
          <w:lang w:eastAsia="en-GB"/>
        </w:rPr>
        <w:t xml:space="preserve"> and O'Leary (1988) ask, "Can it be coincidence that men are aggressive and </w:t>
      </w:r>
      <w:proofErr w:type="gramStart"/>
      <w:r w:rsidRPr="00E73645">
        <w:rPr>
          <w:rFonts w:eastAsia="Times New Roman"/>
          <w:sz w:val="21"/>
          <w:szCs w:val="21"/>
          <w:lang w:eastAsia="en-GB"/>
        </w:rPr>
        <w:t>hierarchically-organized</w:t>
      </w:r>
      <w:proofErr w:type="gramEnd"/>
      <w:r w:rsidRPr="00E73645">
        <w:rPr>
          <w:rFonts w:eastAsia="Times New Roman"/>
          <w:sz w:val="21"/>
          <w:szCs w:val="21"/>
          <w:lang w:eastAsia="en-GB"/>
        </w:rPr>
        <w:t xml:space="preserve"> conversationalists, whereas women are expected to provide conversational support?" (p.80). Clearly, there is scope here for a great deal more research that </w:t>
      </w:r>
    </w:p>
    <w:p w14:paraId="30D9A3C2" w14:textId="77777777" w:rsidR="00774905" w:rsidRPr="00E73645" w:rsidRDefault="00774905" w:rsidP="002734EE">
      <w:pPr>
        <w:numPr>
          <w:ilvl w:val="0"/>
          <w:numId w:val="7"/>
        </w:numPr>
        <w:spacing w:line="276" w:lineRule="auto"/>
        <w:jc w:val="both"/>
        <w:rPr>
          <w:rFonts w:eastAsia="Times New Roman"/>
          <w:sz w:val="21"/>
          <w:szCs w:val="21"/>
          <w:lang w:eastAsia="en-GB"/>
        </w:rPr>
      </w:pPr>
      <w:r w:rsidRPr="00E73645">
        <w:rPr>
          <w:rFonts w:eastAsia="Times New Roman"/>
          <w:sz w:val="21"/>
          <w:szCs w:val="21"/>
          <w:lang w:eastAsia="en-GB"/>
        </w:rPr>
        <w:t xml:space="preserve">is based on empirical data of men's and women's speech; </w:t>
      </w:r>
    </w:p>
    <w:p w14:paraId="286C03D9" w14:textId="77777777" w:rsidR="00774905" w:rsidRPr="00E73645" w:rsidRDefault="00774905" w:rsidP="002734EE">
      <w:pPr>
        <w:numPr>
          <w:ilvl w:val="0"/>
          <w:numId w:val="7"/>
        </w:numPr>
        <w:spacing w:line="276" w:lineRule="auto"/>
        <w:jc w:val="both"/>
        <w:rPr>
          <w:rFonts w:eastAsia="Times New Roman"/>
          <w:sz w:val="21"/>
          <w:szCs w:val="21"/>
          <w:lang w:eastAsia="en-GB"/>
        </w:rPr>
      </w:pPr>
      <w:r w:rsidRPr="00E73645">
        <w:rPr>
          <w:rFonts w:eastAsia="Times New Roman"/>
          <w:sz w:val="21"/>
          <w:szCs w:val="21"/>
          <w:lang w:eastAsia="en-GB"/>
        </w:rPr>
        <w:t xml:space="preserve">operates with a complex understanding of power and gender relationships (so that women's silence, for example, can be seen both as a site of oppression and as a site of possible resistance); </w:t>
      </w:r>
    </w:p>
    <w:p w14:paraId="52DC626A" w14:textId="77777777" w:rsidR="00774905" w:rsidRPr="00E73645" w:rsidRDefault="00774905" w:rsidP="002734EE">
      <w:pPr>
        <w:numPr>
          <w:ilvl w:val="0"/>
          <w:numId w:val="7"/>
        </w:numPr>
        <w:spacing w:line="276" w:lineRule="auto"/>
        <w:jc w:val="both"/>
        <w:rPr>
          <w:rFonts w:eastAsia="Times New Roman"/>
          <w:sz w:val="21"/>
          <w:szCs w:val="21"/>
          <w:lang w:eastAsia="en-GB"/>
        </w:rPr>
      </w:pPr>
      <w:r w:rsidRPr="00E73645">
        <w:rPr>
          <w:rFonts w:eastAsia="Times New Roman"/>
          <w:sz w:val="21"/>
          <w:szCs w:val="21"/>
          <w:lang w:eastAsia="en-GB"/>
        </w:rPr>
        <w:t xml:space="preserve">looks specifically at the contexts of language use, rather than assuming broad gendered differences; </w:t>
      </w:r>
    </w:p>
    <w:p w14:paraId="6BB85A64" w14:textId="77777777" w:rsidR="00774905" w:rsidRPr="00E73645" w:rsidRDefault="00774905" w:rsidP="002734EE">
      <w:pPr>
        <w:numPr>
          <w:ilvl w:val="0"/>
          <w:numId w:val="7"/>
        </w:numPr>
        <w:spacing w:line="276" w:lineRule="auto"/>
        <w:jc w:val="both"/>
        <w:rPr>
          <w:rFonts w:eastAsia="Times New Roman"/>
          <w:sz w:val="21"/>
          <w:szCs w:val="21"/>
          <w:lang w:eastAsia="en-GB"/>
        </w:rPr>
      </w:pPr>
      <w:r w:rsidRPr="00E73645">
        <w:rPr>
          <w:rFonts w:eastAsia="Times New Roman"/>
          <w:sz w:val="21"/>
          <w:szCs w:val="21"/>
          <w:lang w:eastAsia="en-GB"/>
        </w:rPr>
        <w:t xml:space="preserve">involves more work by men on language and gender, since attempts to understand male uses of language in terms of difference have been few (thus running the danger of constructing men's speech as the ‘norm’ and women's speech as ‘different’); </w:t>
      </w:r>
    </w:p>
    <w:p w14:paraId="1A709F06" w14:textId="77777777" w:rsidR="00774905" w:rsidRPr="00E73645" w:rsidRDefault="00774905" w:rsidP="002734EE">
      <w:pPr>
        <w:numPr>
          <w:ilvl w:val="0"/>
          <w:numId w:val="7"/>
        </w:numPr>
        <w:spacing w:line="276" w:lineRule="auto"/>
        <w:ind w:left="357" w:hanging="357"/>
        <w:jc w:val="both"/>
        <w:rPr>
          <w:rFonts w:eastAsia="Times New Roman"/>
          <w:sz w:val="21"/>
          <w:szCs w:val="21"/>
          <w:lang w:eastAsia="en-GB"/>
        </w:rPr>
      </w:pPr>
      <w:r w:rsidRPr="00E73645">
        <w:rPr>
          <w:rFonts w:eastAsia="Times New Roman"/>
          <w:sz w:val="21"/>
          <w:szCs w:val="21"/>
          <w:lang w:eastAsia="en-GB"/>
        </w:rPr>
        <w:t xml:space="preserve">aims not only to describe and explain but also to change language and social relationships. </w:t>
      </w:r>
    </w:p>
    <w:tbl>
      <w:tblPr>
        <w:tblW w:w="5086" w:type="pct"/>
        <w:tblCellSpacing w:w="0" w:type="dxa"/>
        <w:tblCellMar>
          <w:left w:w="0" w:type="dxa"/>
          <w:right w:w="0" w:type="dxa"/>
        </w:tblCellMar>
        <w:tblLook w:val="0000" w:firstRow="0" w:lastRow="0" w:firstColumn="0" w:lastColumn="0" w:noHBand="0" w:noVBand="0"/>
      </w:tblPr>
      <w:tblGrid>
        <w:gridCol w:w="8888"/>
        <w:gridCol w:w="1578"/>
        <w:gridCol w:w="180"/>
      </w:tblGrid>
      <w:tr w:rsidR="00774905" w:rsidRPr="00774905" w14:paraId="721E0A6E" w14:textId="77777777" w:rsidTr="00E7797F">
        <w:trPr>
          <w:gridAfter w:val="2"/>
          <w:wAfter w:w="1452" w:type="dxa"/>
          <w:tblCellSpacing w:w="0" w:type="dxa"/>
        </w:trPr>
        <w:tc>
          <w:tcPr>
            <w:tcW w:w="7337" w:type="dxa"/>
            <w:vAlign w:val="center"/>
          </w:tcPr>
          <w:p w14:paraId="6D9163D9" w14:textId="77777777" w:rsidR="00774905" w:rsidRPr="00774905" w:rsidRDefault="00774905" w:rsidP="00E7797F">
            <w:pPr>
              <w:spacing w:line="276" w:lineRule="auto"/>
              <w:rPr>
                <w:rFonts w:eastAsia="Times New Roman"/>
                <w:b/>
                <w:bCs/>
                <w:lang w:eastAsia="en-GB"/>
              </w:rPr>
            </w:pPr>
          </w:p>
          <w:p w14:paraId="7DB05E49" w14:textId="77777777" w:rsidR="00774905" w:rsidRPr="00774905" w:rsidRDefault="00774905" w:rsidP="00E7797F">
            <w:pPr>
              <w:spacing w:line="276" w:lineRule="auto"/>
              <w:rPr>
                <w:rFonts w:eastAsia="Times New Roman"/>
                <w:lang w:eastAsia="en-GB"/>
              </w:rPr>
            </w:pPr>
            <w:r w:rsidRPr="00774905">
              <w:rPr>
                <w:rFonts w:eastAsia="Times New Roman"/>
                <w:b/>
                <w:bCs/>
                <w:lang w:eastAsia="en-GB"/>
              </w:rPr>
              <w:t xml:space="preserve">References </w:t>
            </w:r>
          </w:p>
        </w:tc>
      </w:tr>
      <w:tr w:rsidR="00774905" w:rsidRPr="00774905" w14:paraId="12290302" w14:textId="77777777" w:rsidTr="00E7797F">
        <w:trPr>
          <w:gridAfter w:val="1"/>
          <w:wAfter w:w="149" w:type="dxa"/>
          <w:tblCellSpacing w:w="0" w:type="dxa"/>
        </w:trPr>
        <w:tc>
          <w:tcPr>
            <w:tcW w:w="8640" w:type="dxa"/>
            <w:gridSpan w:val="2"/>
            <w:vAlign w:val="center"/>
          </w:tcPr>
          <w:p w14:paraId="05831E2B" w14:textId="77777777" w:rsidR="00774905" w:rsidRPr="00774905" w:rsidRDefault="00774905" w:rsidP="00E7797F">
            <w:pPr>
              <w:spacing w:before="120" w:line="276" w:lineRule="auto"/>
              <w:rPr>
                <w:rFonts w:eastAsia="Times New Roman"/>
                <w:lang w:eastAsia="en-GB"/>
              </w:rPr>
            </w:pPr>
            <w:r w:rsidRPr="00774905">
              <w:rPr>
                <w:rFonts w:eastAsia="Times New Roman"/>
                <w:lang w:eastAsia="en-GB"/>
              </w:rPr>
              <w:t xml:space="preserve">Cameron, D., F. </w:t>
            </w:r>
            <w:proofErr w:type="spellStart"/>
            <w:r w:rsidRPr="00774905">
              <w:rPr>
                <w:rFonts w:eastAsia="Times New Roman"/>
                <w:lang w:eastAsia="en-GB"/>
              </w:rPr>
              <w:t>McAlinden</w:t>
            </w:r>
            <w:proofErr w:type="spellEnd"/>
            <w:r w:rsidRPr="00774905">
              <w:rPr>
                <w:rFonts w:eastAsia="Times New Roman"/>
                <w:lang w:eastAsia="en-GB"/>
              </w:rPr>
              <w:t xml:space="preserve"> and K. O'Leary (1988). "Lakoff in context: the social and linguistic function of tag questions."  In J. Coates and D. Cameron (op. cit.). pp. 74-93.</w:t>
            </w:r>
          </w:p>
        </w:tc>
      </w:tr>
      <w:tr w:rsidR="00774905" w:rsidRPr="00774905" w14:paraId="24320C50" w14:textId="77777777" w:rsidTr="00E7797F">
        <w:trPr>
          <w:tblCellSpacing w:w="0" w:type="dxa"/>
        </w:trPr>
        <w:tc>
          <w:tcPr>
            <w:tcW w:w="8789" w:type="dxa"/>
            <w:gridSpan w:val="3"/>
            <w:vAlign w:val="center"/>
          </w:tcPr>
          <w:p w14:paraId="4A651DB9" w14:textId="77777777" w:rsidR="00774905" w:rsidRPr="00774905" w:rsidRDefault="00774905" w:rsidP="00E7797F">
            <w:pPr>
              <w:spacing w:before="120" w:line="276" w:lineRule="auto"/>
              <w:rPr>
                <w:rFonts w:eastAsia="Times New Roman"/>
                <w:lang w:eastAsia="en-GB"/>
              </w:rPr>
            </w:pPr>
            <w:r w:rsidRPr="00774905">
              <w:rPr>
                <w:rFonts w:eastAsia="Times New Roman"/>
                <w:lang w:eastAsia="en-GB"/>
              </w:rPr>
              <w:t xml:space="preserve">Coates, J. and D. Cameron (Eds.) (1988) </w:t>
            </w:r>
            <w:r w:rsidRPr="00774905">
              <w:rPr>
                <w:rFonts w:eastAsia="Times New Roman"/>
                <w:i/>
                <w:iCs/>
                <w:lang w:eastAsia="en-GB"/>
              </w:rPr>
              <w:t>Women in their speech communities</w:t>
            </w:r>
            <w:r w:rsidRPr="00774905">
              <w:rPr>
                <w:rFonts w:eastAsia="Times New Roman"/>
                <w:lang w:eastAsia="en-GB"/>
              </w:rPr>
              <w:t>. Harlow: Longman.</w:t>
            </w:r>
          </w:p>
        </w:tc>
      </w:tr>
      <w:tr w:rsidR="00774905" w:rsidRPr="00774905" w14:paraId="73129141" w14:textId="77777777" w:rsidTr="00E7797F">
        <w:trPr>
          <w:tblCellSpacing w:w="0" w:type="dxa"/>
        </w:trPr>
        <w:tc>
          <w:tcPr>
            <w:tcW w:w="8789" w:type="dxa"/>
            <w:gridSpan w:val="3"/>
            <w:vAlign w:val="center"/>
          </w:tcPr>
          <w:p w14:paraId="2F0F2531" w14:textId="77777777" w:rsidR="00774905" w:rsidRPr="00774905" w:rsidRDefault="00774905" w:rsidP="00E7797F">
            <w:pPr>
              <w:spacing w:before="120" w:line="276" w:lineRule="auto"/>
              <w:rPr>
                <w:rFonts w:eastAsia="Times New Roman"/>
                <w:lang w:eastAsia="en-GB"/>
              </w:rPr>
            </w:pPr>
            <w:r w:rsidRPr="00774905">
              <w:rPr>
                <w:rFonts w:eastAsia="Times New Roman"/>
                <w:lang w:eastAsia="en-GB"/>
              </w:rPr>
              <w:t>Coates, J. (1988). Chapter 6: "Introduction." In J. Coates and D. Cameron (op. cit.) pp. 63-73.</w:t>
            </w:r>
          </w:p>
        </w:tc>
      </w:tr>
      <w:tr w:rsidR="00774905" w:rsidRPr="00774905" w14:paraId="0E155D29" w14:textId="77777777" w:rsidTr="00E7797F">
        <w:trPr>
          <w:tblCellSpacing w:w="0" w:type="dxa"/>
        </w:trPr>
        <w:tc>
          <w:tcPr>
            <w:tcW w:w="8789" w:type="dxa"/>
            <w:gridSpan w:val="3"/>
            <w:vAlign w:val="center"/>
          </w:tcPr>
          <w:p w14:paraId="2A5B5D41" w14:textId="77777777" w:rsidR="00774905" w:rsidRPr="00774905" w:rsidRDefault="00774905" w:rsidP="00E7797F">
            <w:pPr>
              <w:spacing w:before="120" w:line="276" w:lineRule="auto"/>
              <w:rPr>
                <w:rFonts w:eastAsia="Times New Roman"/>
                <w:lang w:eastAsia="en-GB"/>
              </w:rPr>
            </w:pPr>
            <w:r w:rsidRPr="00774905">
              <w:rPr>
                <w:rFonts w:eastAsia="Times New Roman"/>
                <w:lang w:eastAsia="en-GB"/>
              </w:rPr>
              <w:t xml:space="preserve">Lakoff, R. (1975) </w:t>
            </w:r>
            <w:r w:rsidRPr="00774905">
              <w:rPr>
                <w:rFonts w:eastAsia="Times New Roman"/>
                <w:i/>
                <w:iCs/>
                <w:lang w:eastAsia="en-GB"/>
              </w:rPr>
              <w:t>Language and Woman's Place</w:t>
            </w:r>
            <w:r w:rsidRPr="00774905">
              <w:rPr>
                <w:rFonts w:eastAsia="Times New Roman"/>
                <w:lang w:eastAsia="en-GB"/>
              </w:rPr>
              <w:t>. New York: Harper and Row</w:t>
            </w:r>
          </w:p>
        </w:tc>
      </w:tr>
      <w:tr w:rsidR="00774905" w:rsidRPr="00774905" w14:paraId="7344B8C3" w14:textId="77777777" w:rsidTr="00E7797F">
        <w:trPr>
          <w:tblCellSpacing w:w="0" w:type="dxa"/>
        </w:trPr>
        <w:tc>
          <w:tcPr>
            <w:tcW w:w="8789" w:type="dxa"/>
            <w:gridSpan w:val="3"/>
            <w:vAlign w:val="center"/>
          </w:tcPr>
          <w:p w14:paraId="64A39980" w14:textId="77777777" w:rsidR="00774905" w:rsidRPr="00774905" w:rsidRDefault="00774905" w:rsidP="00E7797F">
            <w:pPr>
              <w:spacing w:before="120" w:line="276" w:lineRule="auto"/>
              <w:rPr>
                <w:rFonts w:eastAsia="Times New Roman"/>
                <w:lang w:eastAsia="en-GB"/>
              </w:rPr>
            </w:pPr>
            <w:proofErr w:type="spellStart"/>
            <w:r w:rsidRPr="00774905">
              <w:rPr>
                <w:rFonts w:eastAsia="Times New Roman"/>
                <w:lang w:eastAsia="en-GB"/>
              </w:rPr>
              <w:t>Maltz</w:t>
            </w:r>
            <w:proofErr w:type="spellEnd"/>
            <w:r w:rsidRPr="00774905">
              <w:rPr>
                <w:rFonts w:eastAsia="Times New Roman"/>
                <w:lang w:eastAsia="en-GB"/>
              </w:rPr>
              <w:t xml:space="preserve">, D.N. and R.A. </w:t>
            </w:r>
            <w:proofErr w:type="spellStart"/>
            <w:r w:rsidRPr="00774905">
              <w:rPr>
                <w:rFonts w:eastAsia="Times New Roman"/>
                <w:lang w:eastAsia="en-GB"/>
              </w:rPr>
              <w:t>Borker</w:t>
            </w:r>
            <w:proofErr w:type="spellEnd"/>
            <w:r w:rsidRPr="00774905">
              <w:rPr>
                <w:rFonts w:eastAsia="Times New Roman"/>
                <w:lang w:eastAsia="en-GB"/>
              </w:rPr>
              <w:t xml:space="preserve"> (1982). "A cultural approach to male-female miscommunication." In J. </w:t>
            </w:r>
            <w:proofErr w:type="spellStart"/>
            <w:r w:rsidRPr="00774905">
              <w:rPr>
                <w:rFonts w:eastAsia="Times New Roman"/>
                <w:lang w:eastAsia="en-GB"/>
              </w:rPr>
              <w:t>Gumperz</w:t>
            </w:r>
            <w:proofErr w:type="spellEnd"/>
            <w:r w:rsidRPr="00774905">
              <w:rPr>
                <w:rFonts w:eastAsia="Times New Roman"/>
                <w:lang w:eastAsia="en-GB"/>
              </w:rPr>
              <w:t xml:space="preserve"> (Ed.), </w:t>
            </w:r>
            <w:r w:rsidRPr="00774905">
              <w:rPr>
                <w:rFonts w:eastAsia="Times New Roman"/>
                <w:i/>
                <w:iCs/>
                <w:lang w:eastAsia="en-GB"/>
              </w:rPr>
              <w:t>Language and social</w:t>
            </w:r>
            <w:r w:rsidRPr="00774905">
              <w:rPr>
                <w:rFonts w:eastAsia="Times New Roman"/>
                <w:lang w:eastAsia="en-GB"/>
              </w:rPr>
              <w:t xml:space="preserve"> </w:t>
            </w:r>
            <w:r w:rsidRPr="00774905">
              <w:rPr>
                <w:rFonts w:eastAsia="Times New Roman"/>
                <w:i/>
                <w:iCs/>
                <w:lang w:eastAsia="en-GB"/>
              </w:rPr>
              <w:t>identity.</w:t>
            </w:r>
            <w:r w:rsidRPr="00774905">
              <w:rPr>
                <w:rFonts w:eastAsia="Times New Roman"/>
                <w:lang w:eastAsia="en-GB"/>
              </w:rPr>
              <w:t xml:space="preserve"> Cambridge: Cambridge U.P.</w:t>
            </w:r>
          </w:p>
        </w:tc>
      </w:tr>
      <w:tr w:rsidR="00774905" w:rsidRPr="00774905" w14:paraId="3E71B52A" w14:textId="77777777" w:rsidTr="00E7797F">
        <w:trPr>
          <w:tblCellSpacing w:w="0" w:type="dxa"/>
        </w:trPr>
        <w:tc>
          <w:tcPr>
            <w:tcW w:w="8789" w:type="dxa"/>
            <w:gridSpan w:val="3"/>
            <w:vAlign w:val="center"/>
          </w:tcPr>
          <w:p w14:paraId="2E70F4F2" w14:textId="77777777" w:rsidR="00774905" w:rsidRPr="00774905" w:rsidRDefault="00774905" w:rsidP="00E7797F">
            <w:pPr>
              <w:spacing w:before="120" w:line="276" w:lineRule="auto"/>
              <w:rPr>
                <w:rFonts w:eastAsia="Times New Roman"/>
                <w:lang w:eastAsia="en-GB"/>
              </w:rPr>
            </w:pPr>
            <w:r w:rsidRPr="00774905">
              <w:rPr>
                <w:rFonts w:eastAsia="Times New Roman"/>
                <w:lang w:eastAsia="en-GB"/>
              </w:rPr>
              <w:t xml:space="preserve">Tannen, D. (1987). </w:t>
            </w:r>
            <w:r w:rsidRPr="00774905">
              <w:rPr>
                <w:rFonts w:eastAsia="Times New Roman"/>
                <w:i/>
                <w:iCs/>
                <w:lang w:eastAsia="en-GB"/>
              </w:rPr>
              <w:t>That's not what I meant</w:t>
            </w:r>
            <w:r w:rsidRPr="00774905">
              <w:rPr>
                <w:rFonts w:eastAsia="Times New Roman"/>
                <w:lang w:eastAsia="en-GB"/>
              </w:rPr>
              <w:t>. London: Dent.</w:t>
            </w:r>
          </w:p>
        </w:tc>
      </w:tr>
      <w:tr w:rsidR="00774905" w:rsidRPr="00774905" w14:paraId="4EFAACC7" w14:textId="77777777" w:rsidTr="00E7797F">
        <w:trPr>
          <w:trHeight w:val="77"/>
          <w:tblCellSpacing w:w="0" w:type="dxa"/>
        </w:trPr>
        <w:tc>
          <w:tcPr>
            <w:tcW w:w="8789" w:type="dxa"/>
            <w:gridSpan w:val="3"/>
            <w:vAlign w:val="center"/>
          </w:tcPr>
          <w:p w14:paraId="2B3FF083" w14:textId="77777777" w:rsidR="00774905" w:rsidRPr="00774905" w:rsidRDefault="00774905" w:rsidP="00E7797F">
            <w:pPr>
              <w:spacing w:before="120" w:line="276" w:lineRule="auto"/>
              <w:rPr>
                <w:rFonts w:eastAsia="Times New Roman"/>
                <w:lang w:eastAsia="en-GB"/>
              </w:rPr>
            </w:pPr>
            <w:r w:rsidRPr="00774905">
              <w:rPr>
                <w:rFonts w:eastAsia="Times New Roman"/>
                <w:lang w:eastAsia="en-GB"/>
              </w:rPr>
              <w:t xml:space="preserve">Zimmerman, D. &amp; C. West (1975) "Sex roles, interruptions and silences in conversation" In B. Thorne &amp; N. Henley (Eds.) </w:t>
            </w:r>
            <w:r w:rsidRPr="00774905">
              <w:rPr>
                <w:rFonts w:eastAsia="Times New Roman"/>
                <w:i/>
                <w:iCs/>
                <w:lang w:eastAsia="en-GB"/>
              </w:rPr>
              <w:t>Language and sex: difference and dominance</w:t>
            </w:r>
            <w:r w:rsidRPr="00774905">
              <w:rPr>
                <w:rFonts w:eastAsia="Times New Roman"/>
                <w:lang w:eastAsia="en-GB"/>
              </w:rPr>
              <w:t>. Rowley, Mass: Newbury House.</w:t>
            </w:r>
          </w:p>
        </w:tc>
      </w:tr>
    </w:tbl>
    <w:p w14:paraId="45AC9F1F" w14:textId="77777777" w:rsidR="000C2C07" w:rsidRPr="00B56350" w:rsidRDefault="000C2C07" w:rsidP="00B56350"/>
    <w:sectPr w:rsidR="000C2C07" w:rsidRPr="00B56350" w:rsidSect="00704099">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F2C52" w14:textId="77777777" w:rsidR="00727ADD" w:rsidRDefault="00727ADD" w:rsidP="00FB05A8">
      <w:r>
        <w:separator/>
      </w:r>
    </w:p>
  </w:endnote>
  <w:endnote w:type="continuationSeparator" w:id="0">
    <w:p w14:paraId="2C47574E" w14:textId="77777777" w:rsidR="00727ADD" w:rsidRDefault="00727ADD"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7C49A6">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7C49A6">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8B768" w14:textId="77777777" w:rsidR="00727ADD" w:rsidRDefault="00727ADD" w:rsidP="00FB05A8">
      <w:r>
        <w:separator/>
      </w:r>
    </w:p>
  </w:footnote>
  <w:footnote w:type="continuationSeparator" w:id="0">
    <w:p w14:paraId="3D43398A" w14:textId="77777777" w:rsidR="00727ADD" w:rsidRDefault="00727ADD"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C2520"/>
    <w:multiLevelType w:val="multilevel"/>
    <w:tmpl w:val="F454B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47508B5"/>
    <w:multiLevelType w:val="hybridMultilevel"/>
    <w:tmpl w:val="19DC8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517D2F"/>
    <w:multiLevelType w:val="hybridMultilevel"/>
    <w:tmpl w:val="84FC2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53EF7"/>
    <w:rsid w:val="00082418"/>
    <w:rsid w:val="00086063"/>
    <w:rsid w:val="000C2C07"/>
    <w:rsid w:val="000F3DC8"/>
    <w:rsid w:val="001040AD"/>
    <w:rsid w:val="00163C68"/>
    <w:rsid w:val="00194CCC"/>
    <w:rsid w:val="001A5B65"/>
    <w:rsid w:val="001F0658"/>
    <w:rsid w:val="002734EE"/>
    <w:rsid w:val="0030685C"/>
    <w:rsid w:val="00311DB1"/>
    <w:rsid w:val="00350EF3"/>
    <w:rsid w:val="003B6F48"/>
    <w:rsid w:val="00405B5A"/>
    <w:rsid w:val="004369D1"/>
    <w:rsid w:val="004E2698"/>
    <w:rsid w:val="0051620D"/>
    <w:rsid w:val="005A2444"/>
    <w:rsid w:val="005C0FB3"/>
    <w:rsid w:val="005C1879"/>
    <w:rsid w:val="005E776E"/>
    <w:rsid w:val="0063433F"/>
    <w:rsid w:val="00636173"/>
    <w:rsid w:val="00662DF8"/>
    <w:rsid w:val="00675492"/>
    <w:rsid w:val="006A5EA1"/>
    <w:rsid w:val="006E6398"/>
    <w:rsid w:val="006F5CD6"/>
    <w:rsid w:val="00704099"/>
    <w:rsid w:val="00727ADD"/>
    <w:rsid w:val="00740620"/>
    <w:rsid w:val="00774905"/>
    <w:rsid w:val="007B29AE"/>
    <w:rsid w:val="007C49A6"/>
    <w:rsid w:val="00830FF3"/>
    <w:rsid w:val="00942029"/>
    <w:rsid w:val="00997D94"/>
    <w:rsid w:val="009A3023"/>
    <w:rsid w:val="009B216A"/>
    <w:rsid w:val="009D2593"/>
    <w:rsid w:val="009F49D0"/>
    <w:rsid w:val="00A07C08"/>
    <w:rsid w:val="00A52645"/>
    <w:rsid w:val="00A671B3"/>
    <w:rsid w:val="00AA7429"/>
    <w:rsid w:val="00B241D0"/>
    <w:rsid w:val="00B24D0C"/>
    <w:rsid w:val="00B52F1D"/>
    <w:rsid w:val="00B56350"/>
    <w:rsid w:val="00B859E1"/>
    <w:rsid w:val="00B97B69"/>
    <w:rsid w:val="00BE6580"/>
    <w:rsid w:val="00CE2E35"/>
    <w:rsid w:val="00D06F19"/>
    <w:rsid w:val="00D16FC4"/>
    <w:rsid w:val="00D24386"/>
    <w:rsid w:val="00D31375"/>
    <w:rsid w:val="00D37E3B"/>
    <w:rsid w:val="00D97B5B"/>
    <w:rsid w:val="00DF61A6"/>
    <w:rsid w:val="00E10AAB"/>
    <w:rsid w:val="00E21636"/>
    <w:rsid w:val="00E402DD"/>
    <w:rsid w:val="00E5367D"/>
    <w:rsid w:val="00E73645"/>
    <w:rsid w:val="00EA0BD1"/>
    <w:rsid w:val="00EF0520"/>
    <w:rsid w:val="00F77146"/>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31BD"/>
  <w15:docId w15:val="{999A7407-1465-A74E-9B1E-711C4039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7B29AE"/>
    <w:rPr>
      <w:rFonts w:ascii="Arial" w:eastAsia="Times New Roman" w:hAnsi="Arial"/>
      <w:color w:val="393839"/>
      <w:sz w:val="22"/>
      <w:szCs w:val="22"/>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75806">
      <w:bodyDiv w:val="1"/>
      <w:marLeft w:val="0"/>
      <w:marRight w:val="0"/>
      <w:marTop w:val="0"/>
      <w:marBottom w:val="0"/>
      <w:divBdr>
        <w:top w:val="none" w:sz="0" w:space="0" w:color="auto"/>
        <w:left w:val="none" w:sz="0" w:space="0" w:color="auto"/>
        <w:bottom w:val="none" w:sz="0" w:space="0" w:color="auto"/>
        <w:right w:val="none" w:sz="0" w:space="0" w:color="auto"/>
      </w:divBdr>
    </w:div>
    <w:div w:id="5538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11" ma:contentTypeDescription="Create a new document." ma:contentTypeScope="" ma:versionID="ad8025ef58f438e1474520ef69137733">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82cf61b8938705dda0cc57b434278008"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0D99-D271-4BF5-B563-CBDF8F42E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aa29f-5b2e-4f26-9683-d6d4ab7460cf"/>
    <ds:schemaRef ds:uri="94eef652-f3d4-403f-bb68-6f2321bcd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1AE5A-EA64-4160-9431-2971FBDD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C:\Users\David.Roach\OneDrive for Business\TEMPLATES, IMAGES, ARTICULATE\Kaplan International Pathways branding\Kaplan-Pathways-Template-Portrait.dot</Template>
  <TotalTime>80</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Agnes Marszalek</cp:lastModifiedBy>
  <cp:revision>14</cp:revision>
  <dcterms:created xsi:type="dcterms:W3CDTF">2019-07-04T13:15:00Z</dcterms:created>
  <dcterms:modified xsi:type="dcterms:W3CDTF">2020-09-09T10:02:00Z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ies>
</file>