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63C68" w:rsidR="00A671B3" w:rsidP="00163C68" w:rsidRDefault="00A671B3" w14:paraId="63A5E139" w14:textId="11352A41">
      <w:pPr>
        <w:pStyle w:val="Subtitle"/>
        <w:rPr>
          <w:iCs w:val="0"/>
          <w:color w:val="282878"/>
          <w:kern w:val="32"/>
          <w:szCs w:val="32"/>
          <w:lang w:val="en-GB"/>
        </w:rPr>
      </w:pPr>
      <w:r w:rsidRPr="00163C68">
        <w:rPr>
          <w:iCs w:val="0"/>
          <w:color w:val="282878"/>
          <w:kern w:val="32"/>
          <w:szCs w:val="32"/>
          <w:lang w:val="en-GB"/>
        </w:rPr>
        <w:t>Theme 0</w:t>
      </w:r>
      <w:r w:rsidR="001D1044">
        <w:rPr>
          <w:iCs w:val="0"/>
          <w:color w:val="282878"/>
          <w:kern w:val="32"/>
          <w:szCs w:val="32"/>
          <w:lang w:val="en-GB"/>
        </w:rPr>
        <w:t>5</w:t>
      </w:r>
      <w:r w:rsidRPr="00163C68">
        <w:rPr>
          <w:iCs w:val="0"/>
          <w:color w:val="282878"/>
          <w:kern w:val="32"/>
          <w:szCs w:val="32"/>
          <w:lang w:val="en-GB"/>
        </w:rPr>
        <w:t xml:space="preserve">: </w:t>
      </w:r>
      <w:r w:rsidR="001D1044">
        <w:rPr>
          <w:iCs w:val="0"/>
          <w:color w:val="282878"/>
          <w:kern w:val="32"/>
          <w:szCs w:val="32"/>
          <w:lang w:val="en-GB"/>
        </w:rPr>
        <w:t>Identifying the Literature</w:t>
      </w:r>
    </w:p>
    <w:p w:rsidR="00830FF3" w:rsidP="00A671B3" w:rsidRDefault="00A12880" w14:paraId="6DBE26F0" w14:textId="332415EB">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t>K</w:t>
      </w:r>
      <w:r w:rsidR="00695ADA">
        <w:rPr>
          <w:rFonts w:eastAsia="Times New Roman" w:cs="Times New Roman"/>
          <w:bCs/>
          <w:iCs/>
          <w:color w:val="282878"/>
          <w:sz w:val="28"/>
          <w:szCs w:val="28"/>
          <w:lang w:val="en-GB"/>
        </w:rPr>
        <w:t>ey elements and language in</w:t>
      </w:r>
      <w:r w:rsidR="001D1044">
        <w:rPr>
          <w:rFonts w:eastAsia="Times New Roman" w:cs="Times New Roman"/>
          <w:bCs/>
          <w:iCs/>
          <w:color w:val="282878"/>
          <w:sz w:val="28"/>
          <w:szCs w:val="28"/>
          <w:lang w:val="en-GB"/>
        </w:rPr>
        <w:t xml:space="preserve"> a literature review</w:t>
      </w:r>
    </w:p>
    <w:p w:rsidR="00436F0C" w:rsidP="00436F0C" w:rsidRDefault="00436F0C" w14:paraId="393A27C6" w14:textId="77777777">
      <w:pPr>
        <w:pStyle w:val="NoSpacing"/>
      </w:pPr>
    </w:p>
    <w:p w:rsidRPr="00436F0C" w:rsidR="000C2C07" w:rsidP="00436F0C" w:rsidRDefault="001D1044" w14:paraId="32E8C039" w14:textId="523DA4D2">
      <w:pPr>
        <w:pStyle w:val="NoSpacing"/>
      </w:pPr>
      <w:r w:rsidRPr="00436F0C">
        <w:rPr>
          <w:b/>
        </w:rPr>
        <w:t>Ta</w:t>
      </w:r>
      <w:r w:rsidR="00436F0C">
        <w:rPr>
          <w:b/>
        </w:rPr>
        <w:t>sk 1</w:t>
      </w:r>
      <w:bookmarkStart w:name="_GoBack" w:id="0"/>
      <w:bookmarkEnd w:id="0"/>
    </w:p>
    <w:p w:rsidRPr="0023642B" w:rsidR="001D1044" w:rsidP="001D1044" w:rsidRDefault="0023642B" w14:paraId="4B6B6874" w14:textId="202C3A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i/>
          <w:sz w:val="24"/>
          <w:szCs w:val="24"/>
        </w:rPr>
      </w:pPr>
      <w:r w:rsidRPr="0023642B">
        <w:rPr>
          <w:i/>
          <w:sz w:val="24"/>
          <w:szCs w:val="24"/>
        </w:rPr>
        <w:t>Read the literature review</w:t>
      </w:r>
      <w:r>
        <w:rPr>
          <w:i/>
          <w:sz w:val="24"/>
          <w:szCs w:val="24"/>
        </w:rPr>
        <w:t xml:space="preserve"> </w:t>
      </w:r>
      <w:r w:rsidR="00BA2A11">
        <w:rPr>
          <w:i/>
          <w:sz w:val="24"/>
          <w:szCs w:val="24"/>
        </w:rPr>
        <w:t>below from a journal article titled ‘Why young consumers are not open to mobile marketing communication’.</w:t>
      </w:r>
    </w:p>
    <w:p w:rsidR="0023642B" w:rsidP="001D1044" w:rsidRDefault="0023642B" w14:paraId="180FE4C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b/>
          <w:sz w:val="24"/>
          <w:szCs w:val="24"/>
        </w:rPr>
      </w:pPr>
    </w:p>
    <w:p w:rsidRPr="001D1044" w:rsidR="001D1044" w:rsidP="001D1044" w:rsidRDefault="001D1044" w14:paraId="30748F70" w14:textId="02AF94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b/>
          <w:sz w:val="24"/>
          <w:szCs w:val="24"/>
        </w:rPr>
      </w:pPr>
      <w:r w:rsidRPr="001D1044">
        <w:rPr>
          <w:b/>
          <w:sz w:val="24"/>
          <w:szCs w:val="24"/>
        </w:rPr>
        <w:t>PARAGRAPH A</w:t>
      </w:r>
    </w:p>
    <w:p w:rsidRPr="001D1044" w:rsidR="001D1044" w:rsidP="001D1044" w:rsidRDefault="001D1044" w14:paraId="419BA455" w14:textId="5BFC02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sz w:val="24"/>
          <w:szCs w:val="24"/>
        </w:rPr>
      </w:pPr>
      <w:r w:rsidRPr="001D1044" w:rsidR="001D1044">
        <w:rPr>
          <w:sz w:val="24"/>
          <w:szCs w:val="24"/>
        </w:rPr>
        <w:t>There are still relatively few published studies of mobile phone use. Several have focused on differences in adoption patterns between young people and other users. For example,</w:t>
      </w:r>
      <w:r w:rsidRPr="65B73088" w:rsidR="001D1044">
        <w:rPr>
          <w:color w:val="00B050"/>
          <w:sz w:val="24"/>
          <w:szCs w:val="24"/>
        </w:rPr>
        <w:t xml:space="preserve"> Mante-</w:t>
      </w:r>
      <w:r w:rsidRPr="65B73088" w:rsidR="001D1044">
        <w:rPr>
          <w:rFonts w:eastAsia="LucidaGrande"/>
          <w:color w:val="00B050"/>
          <w:kern w:val="2"/>
          <w:sz w:val="24"/>
          <w:szCs w:val="24"/>
        </w:rPr>
        <w:t>Meyer</w:t>
      </w:r>
      <w:r w:rsidRPr="65B73088" w:rsidR="001D1044">
        <w:rPr>
          <w:color w:val="00B050"/>
          <w:sz w:val="24"/>
          <w:szCs w:val="24"/>
        </w:rPr>
        <w:t xml:space="preserve"> and Haddon (2001) found that</w:t>
      </w:r>
      <w:r w:rsidRPr="001D1044" w:rsidR="001D1044">
        <w:rPr>
          <w:sz w:val="24"/>
          <w:szCs w:val="24"/>
        </w:rPr>
        <w:t xml:space="preserve"> adoption rates </w:t>
      </w:r>
      <w:proofErr w:type="gramStart"/>
      <w:r w:rsidRPr="001D1044" w:rsidR="001D1044">
        <w:rPr>
          <w:sz w:val="24"/>
          <w:szCs w:val="24"/>
        </w:rPr>
        <w:t xml:space="preserve">fe</w:t>
      </w:r>
      <w:r w:rsidR="001D1044">
        <w:rPr>
          <w:sz w:val="24"/>
          <w:szCs w:val="24"/>
        </w:rPr>
        <w:t>ll away</w:t>
      </w:r>
      <w:proofErr w:type="gramEnd"/>
      <w:r w:rsidR="001D1044">
        <w:rPr>
          <w:sz w:val="24"/>
          <w:szCs w:val="24"/>
        </w:rPr>
        <w:t xml:space="preserve"> among those over 20</w:t>
      </w:r>
      <w:r w:rsidRPr="001D1044" w:rsidR="001D1044">
        <w:rPr>
          <w:sz w:val="24"/>
          <w:szCs w:val="24"/>
        </w:rPr>
        <w:t xml:space="preserve">. Studies focusing on the social context of adoption have been conducted primarily among Scandinavian adolescent audiences, perhaps reflecting the quick acceptance of mobile phones in that part of the world. Studies by Oksman and </w:t>
      </w:r>
      <w:proofErr w:type="spellStart"/>
      <w:r w:rsidRPr="001D1044" w:rsidR="001D1044">
        <w:rPr>
          <w:sz w:val="24"/>
          <w:szCs w:val="24"/>
        </w:rPr>
        <w:t>Raitiainen</w:t>
      </w:r>
      <w:proofErr w:type="spellEnd"/>
      <w:r w:rsidRPr="001D1044" w:rsidR="001D1044">
        <w:rPr>
          <w:sz w:val="24"/>
          <w:szCs w:val="24"/>
        </w:rPr>
        <w:t xml:space="preserve"> (2001) in Finland, and Skog (2002) in Norway, suggest</w:t>
      </w:r>
      <w:r w:rsidRPr="001D1044" w:rsidR="001D1044">
        <w:rPr>
          <w:sz w:val="24"/>
          <w:szCs w:val="24"/>
        </w:rPr>
        <w:t>e</w:t>
      </w:r>
      <w:r w:rsidRPr="001D1044" w:rsidR="001D1044">
        <w:rPr>
          <w:sz w:val="24"/>
          <w:szCs w:val="24"/>
        </w:rPr>
        <w:t>d that teenagers are not homogeneous audiences for mobile phones: their attitudes and usage patterns varied widely according to factors such as social background, gender, urban/rural lifestyles, and technological literacy. These studies also highlighted how mobile phones have become integrated into young people’s everyday lives.</w:t>
      </w:r>
    </w:p>
    <w:p w:rsidR="001D1044" w:rsidP="1577E0C5" w:rsidRDefault="001D1044" w14:paraId="2FEC20F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b w:val="1"/>
          <w:bCs w:val="1"/>
          <w:sz w:val="24"/>
          <w:szCs w:val="24"/>
        </w:rPr>
      </w:pPr>
    </w:p>
    <w:p w:rsidRPr="001D1044" w:rsidR="001D1044" w:rsidP="001D1044" w:rsidRDefault="001D1044" w14:paraId="2F92DB19" w14:textId="5C5BDE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b/>
          <w:sz w:val="24"/>
          <w:szCs w:val="24"/>
        </w:rPr>
      </w:pPr>
      <w:r w:rsidRPr="001D1044">
        <w:rPr>
          <w:b/>
          <w:sz w:val="24"/>
          <w:szCs w:val="24"/>
        </w:rPr>
        <w:t xml:space="preserve">PARAGRAPH </w:t>
      </w:r>
      <w:r>
        <w:rPr>
          <w:b/>
          <w:sz w:val="24"/>
          <w:szCs w:val="24"/>
        </w:rPr>
        <w:t>B</w:t>
      </w:r>
    </w:p>
    <w:p w:rsidRPr="001D1044" w:rsidR="001D1044" w:rsidP="001D1044" w:rsidRDefault="001D1044" w14:paraId="051F9C1E" w14:textId="6EA7CE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LucidaGrande"/>
          <w:kern w:val="2"/>
          <w:sz w:val="24"/>
          <w:szCs w:val="24"/>
        </w:rPr>
      </w:pPr>
      <w:r w:rsidRPr="65B73088" w:rsidR="001D1044">
        <w:rPr>
          <w:rFonts w:eastAsia="LucidaGrande"/>
          <w:color w:val="FFC000"/>
          <w:kern w:val="2"/>
          <w:sz w:val="24"/>
          <w:szCs w:val="24"/>
        </w:rPr>
        <w:t xml:space="preserve">An alternative approach has been to</w:t>
      </w:r>
      <w:r w:rsidRPr="001D1044" w:rsidR="001D1044">
        <w:rPr>
          <w:rFonts w:eastAsia="LucidaGrande"/>
          <w:kern w:val="2"/>
          <w:sz w:val="24"/>
          <w:szCs w:val="24"/>
        </w:rPr>
        <w:t xml:space="preserve"> treat mobile phones as a medium and identify the </w:t>
      </w:r>
      <w:proofErr w:type="gramStart"/>
      <w:r w:rsidRPr="001D1044" w:rsidR="001D1044">
        <w:rPr>
          <w:rFonts w:eastAsia="LucidaGrande"/>
          <w:kern w:val="2"/>
          <w:sz w:val="24"/>
          <w:szCs w:val="24"/>
        </w:rPr>
        <w:t>particular uses</w:t>
      </w:r>
      <w:proofErr w:type="gramEnd"/>
      <w:r w:rsidRPr="001D1044" w:rsidR="001D1044">
        <w:rPr>
          <w:rFonts w:eastAsia="LucidaGrande"/>
          <w:kern w:val="2"/>
          <w:sz w:val="24"/>
          <w:szCs w:val="24"/>
        </w:rPr>
        <w:t xml:space="preserve"> and </w:t>
      </w:r>
      <w:r w:rsidRPr="001D1044" w:rsidR="001D1044">
        <w:rPr>
          <w:rFonts w:eastAsia="LucidaGrande"/>
          <w:kern w:val="2"/>
          <w:sz w:val="24"/>
          <w:szCs w:val="24"/>
        </w:rPr>
        <w:t>gratifications</w:t>
      </w:r>
      <w:r w:rsidRPr="001D1044" w:rsidR="001D1044">
        <w:rPr>
          <w:rFonts w:eastAsia="LucidaGrande"/>
          <w:kern w:val="2"/>
          <w:sz w:val="24"/>
          <w:szCs w:val="24"/>
        </w:rPr>
        <w:t xml:space="preserve"> they offer consumers</w:t>
      </w:r>
      <w:r w:rsidR="001D1044">
        <w:rPr>
          <w:rFonts w:eastAsia="LucidaGrande"/>
          <w:kern w:val="2"/>
          <w:sz w:val="24"/>
          <w:szCs w:val="24"/>
        </w:rPr>
        <w:t>.</w:t>
      </w:r>
      <w:r w:rsidRPr="001D1044" w:rsidR="001D1044">
        <w:rPr>
          <w:rFonts w:eastAsia="LucidaGrande"/>
          <w:kern w:val="2"/>
          <w:sz w:val="24"/>
          <w:szCs w:val="24"/>
        </w:rPr>
        <w:t xml:space="preserve"> Uses and gratifications theory has been hailed as ‘one of the most influential theories in the field of communications research’ (Lin 1996, p. 574).</w:t>
      </w:r>
      <w:r w:rsidRPr="65B73088" w:rsidR="001D1044">
        <w:rPr>
          <w:rFonts w:eastAsia="LucidaGrande"/>
          <w:color w:val="00B0F0"/>
          <w:kern w:val="2"/>
          <w:sz w:val="24"/>
          <w:szCs w:val="24"/>
        </w:rPr>
        <w:t xml:space="preserve"> It assumes that</w:t>
      </w:r>
      <w:r w:rsidRPr="001D1044" w:rsidR="001D1044">
        <w:rPr>
          <w:rFonts w:eastAsia="LucidaGrande"/>
          <w:kern w:val="2"/>
          <w:sz w:val="24"/>
          <w:szCs w:val="24"/>
        </w:rPr>
        <w:t xml:space="preserve"> media audiences are </w:t>
      </w:r>
      <w:r w:rsidRPr="001D1044" w:rsidR="001D1044">
        <w:rPr>
          <w:rFonts w:eastAsia="LucidaGrande"/>
          <w:kern w:val="2"/>
          <w:sz w:val="24"/>
          <w:szCs w:val="24"/>
        </w:rPr>
        <w:t xml:space="preserve">active, seeking goal-directed gratification</w:t>
      </w:r>
      <w:r w:rsidRPr="001D1044" w:rsidR="001D1044">
        <w:rPr>
          <w:rFonts w:eastAsia="LucidaGrande"/>
          <w:kern w:val="2"/>
          <w:sz w:val="24"/>
          <w:szCs w:val="24"/>
        </w:rPr>
        <w:t xml:space="preserve">, that the choice of media lies with the individual, and that media compete with other sources for consequent satisfaction (Katz et al. 1973). </w:t>
      </w:r>
      <w:r w:rsidRPr="65B73088" w:rsidR="001D1044">
        <w:rPr>
          <w:rFonts w:eastAsia="LucidaGrande"/>
          <w:color w:val="00B0F0"/>
          <w:kern w:val="2"/>
          <w:sz w:val="24"/>
          <w:szCs w:val="24"/>
        </w:rPr>
        <w:t xml:space="preserve">The tradition has, however, </w:t>
      </w:r>
      <w:r w:rsidRPr="65B73088" w:rsidR="001D1044">
        <w:rPr>
          <w:rFonts w:eastAsia="LucidaGrande"/>
          <w:color w:val="00B0F0"/>
          <w:kern w:val="2"/>
          <w:sz w:val="24"/>
          <w:szCs w:val="24"/>
        </w:rPr>
        <w:t xml:space="preserve">attracted criticism i</w:t>
      </w:r>
      <w:r w:rsidRPr="65B73088" w:rsidR="001D1044">
        <w:rPr>
          <w:rFonts w:eastAsia="LucidaGrande"/>
          <w:color w:val="00B0F0"/>
          <w:kern w:val="2"/>
          <w:sz w:val="24"/>
          <w:szCs w:val="24"/>
        </w:rPr>
        <w:t xml:space="preserve">n the past for</w:t>
      </w:r>
      <w:r w:rsidRPr="001D1044" w:rsidR="001D1044">
        <w:rPr>
          <w:rFonts w:eastAsia="LucidaGrande"/>
          <w:kern w:val="2"/>
          <w:sz w:val="24"/>
          <w:szCs w:val="24"/>
        </w:rPr>
        <w:t xml:space="preserve"> theoretical and methodological fl</w:t>
      </w:r>
      <w:r w:rsidR="001D1044">
        <w:rPr>
          <w:rFonts w:eastAsia="LucidaGrande"/>
          <w:kern w:val="2"/>
          <w:sz w:val="24"/>
          <w:szCs w:val="24"/>
        </w:rPr>
        <w:t>aws (O’Donohoe 1994).</w:t>
      </w:r>
      <w:r w:rsidRPr="001D1044" w:rsidR="001D1044">
        <w:rPr>
          <w:rFonts w:eastAsia="LucidaGrande"/>
          <w:kern w:val="2"/>
          <w:sz w:val="24"/>
          <w:szCs w:val="24"/>
        </w:rPr>
        <w:t xml:space="preserve"> </w:t>
      </w:r>
      <w:proofErr w:type="gramStart"/>
      <w:r w:rsidRPr="65B73088" w:rsidR="001D1044">
        <w:rPr>
          <w:rFonts w:eastAsia="LucidaGrande"/>
          <w:color w:val="00B0F0"/>
          <w:kern w:val="2"/>
          <w:sz w:val="24"/>
          <w:szCs w:val="24"/>
        </w:rPr>
        <w:t xml:space="preserve">In particular, it</w:t>
      </w:r>
      <w:proofErr w:type="gramEnd"/>
      <w:r w:rsidRPr="65B73088" w:rsidR="001D1044">
        <w:rPr>
          <w:rFonts w:eastAsia="LucidaGrande"/>
          <w:color w:val="00B0F0"/>
          <w:kern w:val="2"/>
          <w:sz w:val="24"/>
          <w:szCs w:val="24"/>
        </w:rPr>
        <w:t xml:space="preserve"> has been associated with</w:t>
      </w:r>
      <w:r w:rsidRPr="001D1044" w:rsidR="001D1044">
        <w:rPr>
          <w:rFonts w:eastAsia="LucidaGrande"/>
          <w:kern w:val="2"/>
          <w:sz w:val="24"/>
          <w:szCs w:val="24"/>
        </w:rPr>
        <w:t xml:space="preserve"> </w:t>
      </w:r>
      <w:proofErr w:type="gramStart"/>
      <w:r w:rsidRPr="001D1044" w:rsidR="001D1044">
        <w:rPr>
          <w:rFonts w:eastAsia="LucidaGrande"/>
          <w:kern w:val="2"/>
          <w:sz w:val="24"/>
          <w:szCs w:val="24"/>
        </w:rPr>
        <w:t xml:space="preserve">positivistic</w:t>
      </w:r>
      <w:proofErr w:type="gramEnd"/>
      <w:r w:rsidRPr="001D1044" w:rsidR="001D1044">
        <w:rPr>
          <w:rFonts w:eastAsia="LucidaGrande"/>
          <w:kern w:val="2"/>
          <w:sz w:val="24"/>
          <w:szCs w:val="24"/>
        </w:rPr>
        <w:t xml:space="preserve"> research approaches</w:t>
      </w:r>
      <w:r w:rsidRPr="001D1044" w:rsidR="001D1044">
        <w:rPr>
          <w:rFonts w:eastAsia="LucidaGrande"/>
          <w:kern w:val="2"/>
          <w:sz w:val="24"/>
          <w:szCs w:val="24"/>
        </w:rPr>
        <w:t xml:space="preserve"> and self-completion q</w:t>
      </w:r>
      <w:r w:rsidRPr="001D1044" w:rsidR="001D1044">
        <w:rPr>
          <w:rFonts w:eastAsia="LucidaGrande"/>
          <w:kern w:val="2"/>
          <w:sz w:val="24"/>
          <w:szCs w:val="24"/>
        </w:rPr>
        <w:t xml:space="preserve">uestionnaire methods. </w:t>
      </w:r>
      <w:r w:rsidRPr="65B73088" w:rsidR="001D1044">
        <w:rPr>
          <w:rFonts w:eastAsia="LucidaGrande"/>
          <w:color w:val="00B0F0"/>
          <w:kern w:val="2"/>
          <w:sz w:val="24"/>
          <w:szCs w:val="24"/>
        </w:rPr>
        <w:t xml:space="preserve">Despite these criticisms, </w:t>
      </w:r>
      <w:r w:rsidRPr="001D1044" w:rsidR="001D1044">
        <w:rPr>
          <w:rFonts w:eastAsia="LucidaGrande"/>
          <w:kern w:val="2"/>
          <w:sz w:val="24"/>
          <w:szCs w:val="24"/>
        </w:rPr>
        <w:t xml:space="preserve">the emergence of new and interactive forms of media has </w:t>
      </w:r>
      <w:proofErr w:type="spellStart"/>
      <w:r w:rsidRPr="001D1044" w:rsidR="001D1044">
        <w:rPr>
          <w:rFonts w:eastAsia="LucidaGrande"/>
          <w:kern w:val="2"/>
          <w:sz w:val="24"/>
          <w:szCs w:val="24"/>
        </w:rPr>
        <w:t xml:space="preserve">revitalised</w:t>
      </w:r>
      <w:proofErr w:type="spellEnd"/>
      <w:r w:rsidRPr="001D1044" w:rsidR="001D1044">
        <w:rPr>
          <w:rFonts w:eastAsia="LucidaGrande"/>
          <w:kern w:val="2"/>
          <w:sz w:val="24"/>
          <w:szCs w:val="24"/>
        </w:rPr>
        <w:t xml:space="preserve"> this research tradition, since there is a good fit between its assumptions and the interactive, goal-orientated way in which new media such as the internet are used (Eighmey &amp;</w:t>
      </w:r>
      <w:r w:rsidR="001D1044">
        <w:rPr>
          <w:rFonts w:eastAsia="LucidaGrande"/>
          <w:kern w:val="2"/>
          <w:sz w:val="24"/>
          <w:szCs w:val="24"/>
        </w:rPr>
        <w:t xml:space="preserve"> McCord 1998; Ruggiero 2000</w:t>
      </w:r>
      <w:r w:rsidR="00AF58FF">
        <w:rPr>
          <w:rFonts w:eastAsia="LucidaGrande"/>
          <w:kern w:val="2"/>
          <w:sz w:val="24"/>
          <w:szCs w:val="24"/>
        </w:rPr>
        <w:t>)</w:t>
      </w:r>
      <w:r w:rsidRPr="001D1044" w:rsidR="001D1044">
        <w:rPr>
          <w:rFonts w:eastAsia="LucidaGrande"/>
          <w:kern w:val="2"/>
          <w:sz w:val="24"/>
          <w:szCs w:val="24"/>
        </w:rPr>
        <w:t xml:space="preserve">. </w:t>
      </w:r>
    </w:p>
    <w:p w:rsidR="001D1044" w:rsidP="001D1044" w:rsidRDefault="001D1044" w14:paraId="28B4DB9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LucidaGrande"/>
          <w:kern w:val="2"/>
          <w:sz w:val="24"/>
          <w:szCs w:val="24"/>
        </w:rPr>
      </w:pPr>
    </w:p>
    <w:p w:rsidRPr="001D1044" w:rsidR="001D1044" w:rsidP="001D1044" w:rsidRDefault="001D1044" w14:paraId="0DC19DB6" w14:textId="49D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b/>
          <w:sz w:val="24"/>
          <w:szCs w:val="24"/>
        </w:rPr>
      </w:pPr>
      <w:r w:rsidRPr="001D1044">
        <w:rPr>
          <w:b/>
          <w:sz w:val="24"/>
          <w:szCs w:val="24"/>
        </w:rPr>
        <w:lastRenderedPageBreak/>
        <w:t xml:space="preserve">PARAGRAPH </w:t>
      </w:r>
      <w:r>
        <w:rPr>
          <w:b/>
          <w:sz w:val="24"/>
          <w:szCs w:val="24"/>
        </w:rPr>
        <w:t>C</w:t>
      </w:r>
    </w:p>
    <w:p w:rsidRPr="001D1044" w:rsidR="001D1044" w:rsidP="001D1044" w:rsidRDefault="001D1044" w14:paraId="3D597F5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LucidaGrande"/>
          <w:kern w:val="2"/>
          <w:sz w:val="24"/>
          <w:szCs w:val="24"/>
        </w:rPr>
      </w:pPr>
      <w:r w:rsidRPr="001D1044" w:rsidR="001D1044">
        <w:rPr>
          <w:rFonts w:eastAsia="LucidaGrande"/>
          <w:kern w:val="2"/>
          <w:sz w:val="24"/>
          <w:szCs w:val="24"/>
        </w:rPr>
        <w:t xml:space="preserve">Several studies have adopted a traditional uses and gratifications approach in examining mobile phone use. </w:t>
      </w:r>
      <w:r w:rsidRPr="65B73088" w:rsidR="001D1044">
        <w:rPr>
          <w:rFonts w:eastAsia="LucidaGrande"/>
          <w:color w:val="00B050"/>
          <w:kern w:val="2"/>
          <w:sz w:val="24"/>
          <w:szCs w:val="24"/>
        </w:rPr>
        <w:t>Leung and Wei (2000), for example, identified</w:t>
      </w:r>
      <w:r w:rsidRPr="001D1044" w:rsidR="001D1044">
        <w:rPr>
          <w:rFonts w:eastAsia="LucidaGrande"/>
          <w:kern w:val="2"/>
          <w:sz w:val="24"/>
          <w:szCs w:val="24"/>
        </w:rPr>
        <w:t xml:space="preserve"> seven different gratifications: ‘fashion/status’, ‘affection/ sociability’, ‘relaxation’, ‘mobility’, ‘immediate access’, ‘instrumentality’ and ‘reassurance’. A study of texting in Germany (Höflich &amp; Rössler 2001) identified broadly similar gratifications. </w:t>
      </w:r>
      <w:r w:rsidRPr="65B73088" w:rsidR="001D1044">
        <w:rPr>
          <w:rFonts w:eastAsia="LucidaGrande"/>
          <w:color w:val="00B050"/>
          <w:kern w:val="2"/>
          <w:sz w:val="24"/>
          <w:szCs w:val="24"/>
        </w:rPr>
        <w:t xml:space="preserve">Both studies focused on </w:t>
      </w:r>
      <w:r w:rsidRPr="001D1044" w:rsidR="001D1044">
        <w:rPr>
          <w:rFonts w:eastAsia="LucidaGrande"/>
          <w:kern w:val="2"/>
          <w:sz w:val="24"/>
          <w:szCs w:val="24"/>
        </w:rPr>
        <w:t>general adult samples, however, raising questions about the applicability of their findings to younger consumers.</w:t>
      </w:r>
    </w:p>
    <w:p w:rsidR="001D1044" w:rsidP="001D1044" w:rsidRDefault="001D1044" w14:paraId="2D76B84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LucidaGrande"/>
          <w:kern w:val="2"/>
          <w:sz w:val="24"/>
          <w:szCs w:val="24"/>
        </w:rPr>
      </w:pPr>
    </w:p>
    <w:p w:rsidRPr="001D1044" w:rsidR="001D1044" w:rsidP="001D1044" w:rsidRDefault="001D1044" w14:paraId="0FFBC710" w14:textId="13744D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b/>
          <w:sz w:val="24"/>
          <w:szCs w:val="24"/>
        </w:rPr>
      </w:pPr>
      <w:r w:rsidRPr="001D1044">
        <w:rPr>
          <w:b/>
          <w:sz w:val="24"/>
          <w:szCs w:val="24"/>
        </w:rPr>
        <w:t xml:space="preserve">PARAGRAPH </w:t>
      </w:r>
      <w:r>
        <w:rPr>
          <w:b/>
          <w:sz w:val="24"/>
          <w:szCs w:val="24"/>
        </w:rPr>
        <w:t>D</w:t>
      </w:r>
    </w:p>
    <w:p w:rsidRPr="001D1044" w:rsidR="001D1044" w:rsidP="001D1044" w:rsidRDefault="001D1044" w14:paraId="3E88FBF9" w14:textId="0143B7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LucidaGrande"/>
          <w:kern w:val="2"/>
          <w:sz w:val="24"/>
          <w:szCs w:val="24"/>
        </w:rPr>
      </w:pPr>
      <w:r w:rsidRPr="65B73088" w:rsidR="001D1044">
        <w:rPr>
          <w:rFonts w:eastAsia="LucidaGrande"/>
          <w:color w:val="FFC000"/>
          <w:kern w:val="2"/>
          <w:sz w:val="24"/>
          <w:szCs w:val="24"/>
        </w:rPr>
        <w:t>Several other studies, from a wide range of disciplines, offer some insights</w:t>
      </w:r>
      <w:r w:rsidRPr="001D1044" w:rsidR="001D1044">
        <w:rPr>
          <w:rFonts w:eastAsia="LucidaGrande"/>
          <w:kern w:val="2"/>
          <w:sz w:val="24"/>
          <w:szCs w:val="24"/>
        </w:rPr>
        <w:t xml:space="preserve"> into the appeal of mobile phones to this market. They point to the symbolic value of these products, with ownership of particular mobile phones communicating </w:t>
      </w:r>
      <w:proofErr w:type="spellStart"/>
      <w:r w:rsidRPr="001D1044" w:rsidR="001D1044">
        <w:rPr>
          <w:rFonts w:eastAsia="LucidaGrande"/>
          <w:kern w:val="2"/>
          <w:sz w:val="24"/>
          <w:szCs w:val="24"/>
        </w:rPr>
        <w:t>fashionability</w:t>
      </w:r>
      <w:proofErr w:type="spellEnd"/>
      <w:r w:rsidRPr="001D1044" w:rsidR="001D1044">
        <w:rPr>
          <w:rFonts w:eastAsia="LucidaGrande"/>
          <w:kern w:val="2"/>
          <w:sz w:val="24"/>
          <w:szCs w:val="24"/>
        </w:rPr>
        <w:t xml:space="preserve"> or individuality (Taylor &amp; Harper 2001; Ling 2004). Using mobile phones may also help young people gain and ma</w:t>
      </w:r>
      <w:r w:rsidRPr="001D1044" w:rsidR="001D1044">
        <w:rPr>
          <w:rFonts w:eastAsia="LucidaGrande"/>
          <w:kern w:val="2"/>
          <w:sz w:val="24"/>
          <w:szCs w:val="24"/>
        </w:rPr>
        <w:t xml:space="preserve">intain peer group acceptance (Oksman &amp; Turtiainen 2004; Haste 2005). The ‘linking value’ </w:t>
      </w:r>
      <w:r w:rsidRPr="001D1044" w:rsidR="001D1044">
        <w:rPr>
          <w:rFonts w:eastAsia="LucidaGrande"/>
          <w:kern w:val="2"/>
          <w:sz w:val="24"/>
          <w:szCs w:val="24"/>
        </w:rPr>
        <w:t>of</w:t>
      </w:r>
      <w:r w:rsidRPr="001D1044" w:rsidR="001D1044">
        <w:rPr>
          <w:rFonts w:eastAsia="LucidaGrande"/>
          <w:kern w:val="2"/>
          <w:sz w:val="24"/>
          <w:szCs w:val="24"/>
        </w:rPr>
        <w:t xml:space="preserve"> goods and services has been </w:t>
      </w:r>
      <w:proofErr w:type="spellStart"/>
      <w:r w:rsidRPr="001D1044" w:rsidR="001D1044">
        <w:rPr>
          <w:rFonts w:eastAsia="LucidaGrande"/>
          <w:kern w:val="2"/>
          <w:sz w:val="24"/>
          <w:szCs w:val="24"/>
        </w:rPr>
        <w:t xml:space="preserve">emphasised</w:t>
      </w:r>
      <w:proofErr w:type="spellEnd"/>
      <w:r w:rsidRPr="001D1044" w:rsidR="001D1044">
        <w:rPr>
          <w:rFonts w:eastAsia="LucidaGrande"/>
          <w:kern w:val="2"/>
          <w:sz w:val="24"/>
          <w:szCs w:val="24"/>
        </w:rPr>
        <w:t xml:space="preserve"> by Cova (1994, p. 307), who suggests that ‘to satisfy their desire for communities, postmodern individuals seek products and services less for their use value than for their linking value’. Applying this perspective to mobile phones, </w:t>
      </w:r>
      <w:r w:rsidRPr="65B73088" w:rsidR="001D1044">
        <w:rPr>
          <w:rFonts w:eastAsia="LucidaGrande"/>
          <w:color w:val="00B050"/>
          <w:kern w:val="2"/>
          <w:sz w:val="24"/>
          <w:szCs w:val="24"/>
        </w:rPr>
        <w:t xml:space="preserve">Jones (2002) argues tha</w:t>
      </w:r>
      <w:r w:rsidRPr="001D1044" w:rsidR="001D1044">
        <w:rPr>
          <w:rFonts w:eastAsia="LucidaGrande"/>
          <w:kern w:val="2"/>
          <w:sz w:val="24"/>
          <w:szCs w:val="24"/>
        </w:rPr>
        <w:t xml:space="preserve">t young people’s mobile phone use </w:t>
      </w:r>
      <w:r w:rsidRPr="001D1044" w:rsidR="001D1044">
        <w:rPr>
          <w:rFonts w:eastAsia="LucidaGrande"/>
          <w:kern w:val="2"/>
          <w:sz w:val="24"/>
          <w:szCs w:val="24"/>
        </w:rPr>
        <w:t>can be seen as</w:t>
      </w:r>
      <w:r w:rsidRPr="001D1044" w:rsidR="001D1044">
        <w:rPr>
          <w:rFonts w:eastAsia="LucidaGrande"/>
          <w:kern w:val="2"/>
          <w:sz w:val="24"/>
          <w:szCs w:val="24"/>
        </w:rPr>
        <w:t xml:space="preserve"> ‘</w:t>
      </w:r>
      <w:r w:rsidRPr="001D1044" w:rsidR="001D1044">
        <w:rPr>
          <w:rFonts w:eastAsia="LucidaGrande"/>
          <w:kern w:val="2"/>
          <w:sz w:val="24"/>
          <w:szCs w:val="24"/>
        </w:rPr>
        <w:t>neo-tribalism’ i</w:t>
      </w:r>
      <w:r w:rsidRPr="001D1044" w:rsidR="001D1044">
        <w:rPr>
          <w:rFonts w:eastAsia="LucidaGrande"/>
          <w:kern w:val="2"/>
          <w:sz w:val="24"/>
          <w:szCs w:val="24"/>
        </w:rPr>
        <w:t xml:space="preserve">n action, as it </w:t>
      </w:r>
      <w:proofErr w:type="spellStart"/>
      <w:r w:rsidRPr="001D1044" w:rsidR="001D1044">
        <w:rPr>
          <w:rFonts w:eastAsia="LucidaGrande"/>
          <w:kern w:val="2"/>
          <w:sz w:val="24"/>
          <w:szCs w:val="24"/>
        </w:rPr>
        <w:t>sy</w:t>
      </w:r>
      <w:r w:rsidRPr="001D1044" w:rsidR="001D1044">
        <w:rPr>
          <w:rFonts w:eastAsia="LucidaGrande"/>
          <w:kern w:val="2"/>
          <w:sz w:val="24"/>
          <w:szCs w:val="24"/>
        </w:rPr>
        <w:t>mbolises</w:t>
      </w:r>
      <w:proofErr w:type="spellEnd"/>
      <w:r w:rsidRPr="001D1044" w:rsidR="001D1044">
        <w:rPr>
          <w:rFonts w:eastAsia="LucidaGrande"/>
          <w:kern w:val="2"/>
          <w:sz w:val="24"/>
          <w:szCs w:val="24"/>
        </w:rPr>
        <w:t xml:space="preserve"> shared values and interests. Similarly, </w:t>
      </w:r>
      <w:r w:rsidRPr="65B73088" w:rsidR="001D1044">
        <w:rPr>
          <w:rFonts w:eastAsia="LucidaGrande"/>
          <w:color w:val="00B050"/>
          <w:kern w:val="2"/>
          <w:sz w:val="24"/>
          <w:szCs w:val="24"/>
        </w:rPr>
        <w:t xml:space="preserve">Taylor and Harper (2001) found tha</w:t>
      </w:r>
      <w:r w:rsidRPr="001D1044" w:rsidR="001D1044">
        <w:rPr>
          <w:rFonts w:eastAsia="LucidaGrande"/>
          <w:kern w:val="2"/>
          <w:sz w:val="24"/>
          <w:szCs w:val="24"/>
        </w:rPr>
        <w:t xml:space="preserve">t, for 11–18-year-olds, particular words and symbols became part of the tacit knowledge ‘owned’ by certain social </w:t>
      </w:r>
      <w:proofErr w:type="gramStart"/>
      <w:r w:rsidRPr="001D1044" w:rsidR="001D1044">
        <w:rPr>
          <w:rFonts w:eastAsia="LucidaGrande"/>
          <w:kern w:val="2"/>
          <w:sz w:val="24"/>
          <w:szCs w:val="24"/>
        </w:rPr>
        <w:t>networks, and</w:t>
      </w:r>
      <w:proofErr w:type="gramEnd"/>
      <w:r w:rsidRPr="001D1044" w:rsidR="001D1044">
        <w:rPr>
          <w:rFonts w:eastAsia="LucidaGrande"/>
          <w:kern w:val="2"/>
          <w:sz w:val="24"/>
          <w:szCs w:val="24"/>
        </w:rPr>
        <w:t xml:space="preserve"> were used when </w:t>
      </w:r>
      <w:r w:rsidRPr="001D1044" w:rsidR="001D1044">
        <w:rPr>
          <w:rFonts w:eastAsia="LucidaGrande"/>
          <w:kern w:val="2"/>
          <w:sz w:val="24"/>
          <w:szCs w:val="24"/>
        </w:rPr>
        <w:t>texting t</w:t>
      </w:r>
      <w:r w:rsidRPr="001D1044" w:rsidR="001D1044">
        <w:rPr>
          <w:rFonts w:eastAsia="LucidaGrande"/>
          <w:kern w:val="2"/>
          <w:sz w:val="24"/>
          <w:szCs w:val="24"/>
        </w:rPr>
        <w:t>o signify group membership and distinguish others as ‘</w:t>
      </w:r>
      <w:proofErr w:type="gramStart"/>
      <w:r w:rsidRPr="001D1044" w:rsidR="001D1044">
        <w:rPr>
          <w:rFonts w:eastAsia="LucidaGrande"/>
          <w:kern w:val="2"/>
          <w:sz w:val="24"/>
          <w:szCs w:val="24"/>
        </w:rPr>
        <w:t>outsiders’</w:t>
      </w:r>
      <w:proofErr w:type="gramEnd"/>
      <w:r w:rsidRPr="001D1044" w:rsidR="001D1044">
        <w:rPr>
          <w:rFonts w:eastAsia="LucidaGrande"/>
          <w:kern w:val="2"/>
          <w:sz w:val="24"/>
          <w:szCs w:val="24"/>
        </w:rPr>
        <w:t>. Furthermore, the potential to contact others in an emergency offers a sense of security a</w:t>
      </w:r>
      <w:r w:rsidRPr="001D1044" w:rsidR="001D1044">
        <w:rPr>
          <w:rFonts w:eastAsia="LucidaGrande"/>
          <w:kern w:val="2"/>
          <w:sz w:val="24"/>
          <w:szCs w:val="24"/>
        </w:rPr>
        <w:t>nd reassurance to young people, not to mention their parents (Haste 2005).</w:t>
      </w:r>
    </w:p>
    <w:p w:rsidRPr="001D1044" w:rsidR="001D1044" w:rsidP="001D1044" w:rsidRDefault="001D1044" w14:paraId="28375A6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LucidaGrande"/>
          <w:kern w:val="2"/>
          <w:sz w:val="24"/>
          <w:szCs w:val="24"/>
        </w:rPr>
      </w:pPr>
    </w:p>
    <w:p w:rsidRPr="001D1044" w:rsidR="001D1044" w:rsidP="001D1044" w:rsidRDefault="001D1044" w14:paraId="0CAEE718" w14:textId="4C59B1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b/>
          <w:sz w:val="24"/>
          <w:szCs w:val="24"/>
        </w:rPr>
      </w:pPr>
      <w:r w:rsidRPr="001D1044">
        <w:rPr>
          <w:b/>
          <w:sz w:val="24"/>
          <w:szCs w:val="24"/>
        </w:rPr>
        <w:t xml:space="preserve">PARAGRAPH </w:t>
      </w:r>
      <w:r>
        <w:rPr>
          <w:b/>
          <w:sz w:val="24"/>
          <w:szCs w:val="24"/>
        </w:rPr>
        <w:t>E</w:t>
      </w:r>
    </w:p>
    <w:p w:rsidRPr="001D1044" w:rsidR="001D1044" w:rsidP="001D1044" w:rsidRDefault="001D1044" w14:paraId="6E94A85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LucidaGrande"/>
          <w:kern w:val="2"/>
          <w:sz w:val="24"/>
          <w:szCs w:val="24"/>
        </w:rPr>
      </w:pPr>
      <w:r w:rsidRPr="65B73088" w:rsidR="001D1044">
        <w:rPr>
          <w:rFonts w:eastAsia="LucidaGrande"/>
          <w:color w:val="FFC000"/>
          <w:kern w:val="2"/>
          <w:sz w:val="24"/>
          <w:szCs w:val="24"/>
        </w:rPr>
        <w:t xml:space="preserve">Several researchers have started to</w:t>
      </w:r>
      <w:r w:rsidRPr="001D1044" w:rsidR="001D1044">
        <w:rPr>
          <w:rFonts w:eastAsia="LucidaGrande"/>
          <w:kern w:val="2"/>
          <w:sz w:val="24"/>
          <w:szCs w:val="24"/>
        </w:rPr>
        <w:t xml:space="preserve"> explore issues of mobile phone consumption, identity and general societal impact. Their work often highlights problematic as well as positive aspects of mobile use. Peer-to-peer mobile communications may include acts of malice and intimidation (Haste 2005; NCH 2005), for example, and signs of annoyance with commercial communications targeting young people are emerging (Monk et al. 2004). More abstract, but no less significant, concerns have been raised by others. For example, Agnelli (in </w:t>
      </w:r>
      <w:proofErr w:type="spellStart"/>
      <w:r w:rsidRPr="001D1044" w:rsidR="001D1044">
        <w:rPr>
          <w:rFonts w:eastAsia="LucidaGrande"/>
          <w:kern w:val="2"/>
          <w:sz w:val="24"/>
          <w:szCs w:val="24"/>
        </w:rPr>
        <w:t xml:space="preserve">Vanderbeeken</w:t>
      </w:r>
      <w:proofErr w:type="spellEnd"/>
      <w:r w:rsidRPr="001D1044" w:rsidR="001D1044">
        <w:rPr>
          <w:rFonts w:eastAsia="LucidaGrande"/>
          <w:kern w:val="2"/>
          <w:sz w:val="24"/>
          <w:szCs w:val="24"/>
        </w:rPr>
        <w:t xml:space="preserve"> 2004, p. 2; see also Agnelli et al. 2004) argues that mobile phones have led to the overlapping of digital and</w:t>
      </w:r>
      <w:r w:rsidRPr="001D1044" w:rsidR="001D1044">
        <w:rPr>
          <w:rFonts w:eastAsia="LucidaGrande"/>
          <w:kern w:val="2"/>
          <w:sz w:val="24"/>
          <w:szCs w:val="24"/>
        </w:rPr>
        <w:t xml:space="preserve"> </w:t>
      </w:r>
      <w:r w:rsidRPr="001D1044" w:rsidR="001D1044">
        <w:rPr>
          <w:rFonts w:eastAsia="LucidaGrande"/>
          <w:kern w:val="2"/>
          <w:sz w:val="24"/>
          <w:szCs w:val="24"/>
        </w:rPr>
        <w:t xml:space="preserve">physical space, so that physical presence no longer implies attentiveness or availability, and disti</w:t>
      </w:r>
      <w:r w:rsidRPr="001D1044" w:rsidR="001D1044">
        <w:rPr>
          <w:rFonts w:eastAsia="LucidaGrande"/>
          <w:kern w:val="2"/>
          <w:sz w:val="24"/>
          <w:szCs w:val="24"/>
        </w:rPr>
        <w:t xml:space="preserve">nctions between p</w:t>
      </w:r>
      <w:r w:rsidRPr="001D1044" w:rsidR="001D1044">
        <w:rPr>
          <w:rFonts w:eastAsia="LucidaGrande"/>
          <w:kern w:val="2"/>
          <w:sz w:val="24"/>
          <w:szCs w:val="24"/>
        </w:rPr>
        <w:t xml:space="preserve">ublic and private space are eroded</w:t>
      </w:r>
      <w:r w:rsidRPr="001D1044" w:rsidR="001D1044">
        <w:rPr>
          <w:rFonts w:eastAsia="LucidaGrande"/>
          <w:kern w:val="2"/>
          <w:sz w:val="24"/>
          <w:szCs w:val="24"/>
        </w:rPr>
        <w:t xml:space="preserve">. Dholakia and Zwick (2003) review debates in </w:t>
      </w:r>
      <w:proofErr w:type="gramStart"/>
      <w:r w:rsidRPr="001D1044" w:rsidR="001D1044">
        <w:rPr>
          <w:rFonts w:eastAsia="LucidaGrande"/>
          <w:kern w:val="2"/>
          <w:sz w:val="24"/>
          <w:szCs w:val="24"/>
        </w:rPr>
        <w:t xml:space="preserve">the technological</w:t>
      </w:r>
      <w:proofErr w:type="gramEnd"/>
      <w:r w:rsidRPr="001D1044" w:rsidR="001D1044">
        <w:rPr>
          <w:rFonts w:eastAsia="LucidaGrande"/>
          <w:kern w:val="2"/>
          <w:sz w:val="24"/>
          <w:szCs w:val="24"/>
        </w:rPr>
        <w:t xml:space="preserve"> literature on whether mobile technology offers people greater freedom and creativity or enslaves them through the greater potential for surveillance and monitoring by the powerful. </w:t>
      </w:r>
      <w:r w:rsidRPr="001D1044" w:rsidR="001D1044">
        <w:rPr>
          <w:rFonts w:eastAsia="LucidaGrande"/>
          <w:kern w:val="2"/>
          <w:sz w:val="24"/>
          <w:szCs w:val="24"/>
        </w:rPr>
        <w:t xml:space="preserve">They suggest that ‘mobile communications </w:t>
      </w:r>
      <w:proofErr w:type="gramStart"/>
      <w:r w:rsidRPr="001D1044" w:rsidR="001D1044">
        <w:rPr>
          <w:rFonts w:eastAsia="LucidaGrande"/>
          <w:kern w:val="2"/>
          <w:sz w:val="24"/>
          <w:szCs w:val="24"/>
        </w:rPr>
        <w:t>means</w:t>
      </w:r>
      <w:proofErr w:type="gramEnd"/>
      <w:r w:rsidRPr="001D1044" w:rsidR="001D1044">
        <w:rPr>
          <w:rFonts w:eastAsia="LucidaGrande"/>
          <w:kern w:val="2"/>
          <w:sz w:val="24"/>
          <w:szCs w:val="24"/>
        </w:rPr>
        <w:t xml:space="preserve"> accessibility, and more importantly, the obligation to be accessible’ (p. 10), </w:t>
      </w:r>
      <w:proofErr w:type="gramStart"/>
      <w:r w:rsidRPr="001D1044" w:rsidR="001D1044">
        <w:rPr>
          <w:rFonts w:eastAsia="LucidaGrande"/>
          <w:kern w:val="2"/>
          <w:sz w:val="24"/>
          <w:szCs w:val="24"/>
        </w:rPr>
        <w:t>and also</w:t>
      </w:r>
      <w:proofErr w:type="gramEnd"/>
      <w:r w:rsidRPr="001D1044" w:rsidR="001D1044">
        <w:rPr>
          <w:rFonts w:eastAsia="LucidaGrande"/>
          <w:kern w:val="2"/>
          <w:sz w:val="24"/>
          <w:szCs w:val="24"/>
        </w:rPr>
        <w:lastRenderedPageBreak/>
        <w:t xml:space="preserve"> the erosion of boundaries between spaces for work, consumption and recreation.</w:t>
      </w:r>
    </w:p>
    <w:p w:rsidRPr="001D1044" w:rsidR="001D1044" w:rsidP="001D1044" w:rsidRDefault="001D1044" w14:paraId="580AF9E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eastAsia="LucidaGrande"/>
          <w:kern w:val="2"/>
          <w:sz w:val="24"/>
          <w:szCs w:val="24"/>
        </w:rPr>
      </w:pPr>
    </w:p>
    <w:p w:rsidRPr="00436F0C" w:rsidR="001D1044" w:rsidP="1577E0C5" w:rsidRDefault="001D1044" w14:paraId="5E64C751" w14:textId="2972FF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b w:val="1"/>
          <w:bCs w:val="1"/>
          <w:sz w:val="24"/>
          <w:szCs w:val="24"/>
        </w:rPr>
      </w:pPr>
      <w:r w:rsidRPr="1577E0C5" w:rsidR="001D1044">
        <w:rPr>
          <w:b w:val="1"/>
          <w:bCs w:val="1"/>
          <w:sz w:val="24"/>
          <w:szCs w:val="24"/>
        </w:rPr>
        <w:t>PARAGRAPH F</w:t>
      </w:r>
    </w:p>
    <w:p w:rsidRPr="00436F0C" w:rsidR="000C2C07" w:rsidP="00436F0C" w:rsidRDefault="001D1044" w14:paraId="26230813" w14:textId="12505FB6">
      <w:pPr>
        <w:pStyle w:val="NoSpacing"/>
      </w:pPr>
      <w:r w:rsidR="001D1044">
        <w:rPr/>
        <w:t>There is, however, re</w:t>
      </w:r>
      <w:r w:rsidR="001D1044">
        <w:rPr/>
        <w:t>latively little research evidence</w:t>
      </w:r>
      <w:r w:rsidR="001D1044">
        <w:rPr/>
        <w:t xml:space="preserve"> concerning the extent to which more problematic aspects of mobile phone use match young people’s everyday experiences. </w:t>
      </w:r>
      <w:proofErr w:type="gramStart"/>
      <w:r w:rsidR="001D1044">
        <w:rPr/>
        <w:t>In particular, there</w:t>
      </w:r>
      <w:proofErr w:type="gramEnd"/>
      <w:r w:rsidR="001D1044">
        <w:rPr/>
        <w:t xml:space="preserve"> is </w:t>
      </w:r>
      <w:r w:rsidR="001D1044">
        <w:rPr/>
        <w:t>also little evidence on how – or whether – mobile marketing communications (MMC) fit into young people’s everyday mobile phone use. Liter</w:t>
      </w:r>
      <w:r w:rsidR="001D1044">
        <w:rPr/>
        <w:t>ature to date has either focused exclusively on relationships between mobile marketing and consumers (Mort &amp; Drennan 2004) or ignored its presence altogether. This study sets out, then, to locate young consumers’ experiences of MMC within the context of overall mobile use.</w:t>
      </w:r>
    </w:p>
    <w:p w:rsidR="005B32C2" w:rsidP="00436F0C" w:rsidRDefault="005B32C2" w14:paraId="56DC397C" w14:textId="77777777">
      <w:pPr>
        <w:pStyle w:val="NoSpacing"/>
        <w:rPr>
          <w:sz w:val="16"/>
          <w:szCs w:val="16"/>
        </w:rPr>
      </w:pPr>
    </w:p>
    <w:p w:rsidRPr="003F12AC" w:rsidR="000C2C07" w:rsidP="003F12AC" w:rsidRDefault="005B32C2" w14:paraId="09566C59" w14:textId="1E5D5133">
      <w:pPr>
        <w:pStyle w:val="NoSpacing"/>
        <w:spacing w:line="240" w:lineRule="auto"/>
        <w:rPr>
          <w:sz w:val="20"/>
          <w:szCs w:val="20"/>
        </w:rPr>
      </w:pPr>
      <w:r w:rsidRPr="1577E0C5" w:rsidR="005B32C2">
        <w:rPr>
          <w:sz w:val="20"/>
          <w:szCs w:val="20"/>
        </w:rPr>
        <w:t xml:space="preserve">Source: Grant, I. and O’Donohoe, S. (2007) </w:t>
      </w:r>
      <w:r w:rsidRPr="1577E0C5" w:rsidR="00591DA2">
        <w:rPr>
          <w:sz w:val="20"/>
          <w:szCs w:val="20"/>
        </w:rPr>
        <w:t>‘</w:t>
      </w:r>
      <w:r w:rsidRPr="1577E0C5" w:rsidR="005B32C2">
        <w:rPr>
          <w:sz w:val="20"/>
          <w:szCs w:val="20"/>
        </w:rPr>
        <w:t>Why young consumers are not open to mobile marketing communication</w:t>
      </w:r>
      <w:r w:rsidRPr="1577E0C5" w:rsidR="00591DA2">
        <w:rPr>
          <w:sz w:val="20"/>
          <w:szCs w:val="20"/>
        </w:rPr>
        <w:t>’</w:t>
      </w:r>
      <w:r w:rsidRPr="1577E0C5" w:rsidR="005B32C2">
        <w:rPr>
          <w:sz w:val="20"/>
          <w:szCs w:val="20"/>
        </w:rPr>
        <w:t xml:space="preserve">. </w:t>
      </w:r>
      <w:r w:rsidRPr="1577E0C5" w:rsidR="005B32C2">
        <w:rPr>
          <w:i w:val="1"/>
          <w:iCs w:val="1"/>
          <w:sz w:val="20"/>
          <w:szCs w:val="20"/>
        </w:rPr>
        <w:t>Journal of Advertising</w:t>
      </w:r>
      <w:r w:rsidRPr="1577E0C5" w:rsidR="005B32C2">
        <w:rPr>
          <w:sz w:val="20"/>
          <w:szCs w:val="20"/>
        </w:rPr>
        <w:t xml:space="preserve"> 26</w:t>
      </w:r>
      <w:r w:rsidRPr="1577E0C5" w:rsidR="00591DA2">
        <w:rPr>
          <w:sz w:val="20"/>
          <w:szCs w:val="20"/>
        </w:rPr>
        <w:t xml:space="preserve"> </w:t>
      </w:r>
      <w:r w:rsidRPr="1577E0C5" w:rsidR="005B32C2">
        <w:rPr>
          <w:sz w:val="20"/>
          <w:szCs w:val="20"/>
        </w:rPr>
        <w:t>(2)</w:t>
      </w:r>
      <w:r w:rsidRPr="1577E0C5" w:rsidR="00591DA2">
        <w:rPr>
          <w:sz w:val="20"/>
          <w:szCs w:val="20"/>
        </w:rPr>
        <w:t>: pp. 223-246</w:t>
      </w:r>
    </w:p>
    <w:p w:rsidR="005B32C2" w:rsidP="1577E0C5" w:rsidRDefault="005B32C2" w14:paraId="4C90BFDA" w14:textId="77777777">
      <w:pPr>
        <w:pStyle w:val="NoSpacing"/>
        <w:rPr>
          <w:b w:val="1"/>
          <w:bCs w:val="1"/>
        </w:rPr>
      </w:pPr>
    </w:p>
    <w:p w:rsidR="00BA2A11" w:rsidP="1577E0C5" w:rsidRDefault="00BA2A11" w14:paraId="218B7995" w14:textId="77777777">
      <w:pPr>
        <w:pStyle w:val="NoSpacing"/>
        <w:rPr>
          <w:b w:val="1"/>
          <w:bCs w:val="1"/>
        </w:rPr>
      </w:pPr>
    </w:p>
    <w:p w:rsidRPr="00436F0C" w:rsidR="00436F0C" w:rsidP="1577E0C5" w:rsidRDefault="00436F0C" w14:paraId="43D3628E" w14:textId="33805E34">
      <w:pPr>
        <w:pStyle w:val="NoSpacing"/>
        <w:rPr>
          <w:b w:val="1"/>
          <w:bCs w:val="1"/>
        </w:rPr>
      </w:pPr>
      <w:r w:rsidRPr="1577E0C5" w:rsidR="00436F0C">
        <w:rPr>
          <w:b w:val="1"/>
          <w:bCs w:val="1"/>
        </w:rPr>
        <w:t>Ta</w:t>
      </w:r>
      <w:r w:rsidRPr="1577E0C5" w:rsidR="00436F0C">
        <w:rPr>
          <w:b w:val="1"/>
          <w:bCs w:val="1"/>
        </w:rPr>
        <w:t>sk 2</w:t>
      </w:r>
    </w:p>
    <w:p w:rsidRPr="007E3C5A" w:rsidR="000C2C07" w:rsidP="00436F0C" w:rsidRDefault="00436F0C" w14:paraId="0779C8C8" w14:textId="75245694">
      <w:pPr>
        <w:pStyle w:val="NoSpacing"/>
        <w:rPr>
          <w:i/>
        </w:rPr>
      </w:pPr>
      <w:r w:rsidRPr="007E3C5A">
        <w:rPr>
          <w:i/>
        </w:rPr>
        <w:t xml:space="preserve">Look at the list of </w:t>
      </w:r>
      <w:r w:rsidR="00591DA2">
        <w:rPr>
          <w:i/>
        </w:rPr>
        <w:t>features</w:t>
      </w:r>
      <w:r w:rsidRPr="007E3C5A">
        <w:rPr>
          <w:i/>
        </w:rPr>
        <w:t xml:space="preserve"> </w:t>
      </w:r>
      <w:r w:rsidRPr="007E3C5A" w:rsidR="007E3C5A">
        <w:rPr>
          <w:i/>
        </w:rPr>
        <w:t>of</w:t>
      </w:r>
      <w:r w:rsidRPr="007E3C5A">
        <w:rPr>
          <w:i/>
        </w:rPr>
        <w:t xml:space="preserve"> a literature review. Note </w:t>
      </w:r>
      <w:r w:rsidR="00BA2A11">
        <w:rPr>
          <w:i/>
        </w:rPr>
        <w:t xml:space="preserve">down </w:t>
      </w:r>
      <w:r w:rsidRPr="007E3C5A">
        <w:rPr>
          <w:i/>
        </w:rPr>
        <w:t>in which paragraph they can be found.</w:t>
      </w:r>
    </w:p>
    <w:p w:rsidRPr="007E3C5A" w:rsidR="007E3C5A" w:rsidP="00436F0C" w:rsidRDefault="007E3C5A" w14:paraId="13FD30AA" w14:textId="77777777">
      <w:pPr>
        <w:pStyle w:val="NoSpacing"/>
        <w:rPr>
          <w:sz w:val="8"/>
          <w:szCs w:val="8"/>
        </w:rPr>
      </w:pPr>
    </w:p>
    <w:tbl>
      <w:tblPr>
        <w:tblStyle w:val="TableGrid"/>
        <w:tblW w:w="0" w:type="auto"/>
        <w:tblInd w:w="108" w:type="dxa"/>
        <w:tblLook w:val="04A0" w:firstRow="1" w:lastRow="0" w:firstColumn="1" w:lastColumn="0" w:noHBand="0" w:noVBand="1"/>
      </w:tblPr>
      <w:tblGrid>
        <w:gridCol w:w="9072"/>
        <w:gridCol w:w="1502"/>
      </w:tblGrid>
      <w:tr w:rsidRPr="00436F0C" w:rsidR="00436F0C" w:rsidTr="00436F0C" w14:paraId="66CE2EFC" w14:textId="77777777">
        <w:trPr>
          <w:cnfStyle w:val="100000000000" w:firstRow="1" w:lastRow="0" w:firstColumn="0" w:lastColumn="0" w:oddVBand="0" w:evenVBand="0" w:oddHBand="0" w:evenHBand="0" w:firstRowFirstColumn="0" w:firstRowLastColumn="0" w:lastRowFirstColumn="0" w:lastRowLastColumn="0"/>
        </w:trPr>
        <w:tc>
          <w:tcPr>
            <w:tcW w:w="9072" w:type="dxa"/>
          </w:tcPr>
          <w:p w:rsidRPr="00436F0C" w:rsidR="00436F0C" w:rsidP="00436F0C" w:rsidRDefault="00AF58FF" w14:paraId="5DE33D88" w14:textId="0F66552A">
            <w:pPr>
              <w:pStyle w:val="NoSpacing"/>
            </w:pPr>
            <w:r>
              <w:t>Feature</w:t>
            </w:r>
          </w:p>
        </w:tc>
        <w:tc>
          <w:tcPr>
            <w:tcW w:w="1502" w:type="dxa"/>
          </w:tcPr>
          <w:p w:rsidRPr="00436F0C" w:rsidR="00436F0C" w:rsidP="005B32C2" w:rsidRDefault="00436F0C" w14:paraId="71BC7B2C" w14:textId="4755DFC8">
            <w:pPr>
              <w:pStyle w:val="NoSpacing"/>
              <w:jc w:val="center"/>
            </w:pPr>
            <w:r w:rsidRPr="00436F0C">
              <w:t>Paragraph</w:t>
            </w:r>
          </w:p>
        </w:tc>
      </w:tr>
      <w:tr w:rsidR="00436F0C" w:rsidTr="005B32C2" w14:paraId="4318EE0B" w14:textId="77777777">
        <w:trPr>
          <w:trHeight w:val="828"/>
        </w:trPr>
        <w:tc>
          <w:tcPr>
            <w:tcW w:w="9072" w:type="dxa"/>
          </w:tcPr>
          <w:p w:rsidRPr="005B32C2" w:rsidR="00436F0C" w:rsidP="005B32C2" w:rsidRDefault="00436F0C" w14:paraId="0EED57E3" w14:textId="1B8D95F8">
            <w:pPr>
              <w:pStyle w:val="NoSpacing"/>
            </w:pPr>
            <w:r w:rsidRPr="005B32C2">
              <w:t>Introducing another group of studies following an alternative approach to those mentioned earlier</w:t>
            </w:r>
          </w:p>
        </w:tc>
        <w:tc>
          <w:tcPr>
            <w:tcW w:w="1502" w:type="dxa"/>
          </w:tcPr>
          <w:p w:rsidR="00436F0C" w:rsidP="00436F0C" w:rsidRDefault="00436F0C" w14:paraId="425146E1" w14:textId="77777777">
            <w:pPr>
              <w:pStyle w:val="NoSpacing"/>
            </w:pPr>
          </w:p>
        </w:tc>
      </w:tr>
      <w:tr w:rsidR="00436F0C" w:rsidTr="005B32C2" w14:paraId="40908A0B" w14:textId="77777777">
        <w:trPr>
          <w:cnfStyle w:val="000000010000" w:firstRow="0" w:lastRow="0" w:firstColumn="0" w:lastColumn="0" w:oddVBand="0" w:evenVBand="0" w:oddHBand="0" w:evenHBand="1" w:firstRowFirstColumn="0" w:firstRowLastColumn="0" w:lastRowFirstColumn="0" w:lastRowLastColumn="0"/>
          <w:trHeight w:val="828"/>
        </w:trPr>
        <w:tc>
          <w:tcPr>
            <w:tcW w:w="9072" w:type="dxa"/>
          </w:tcPr>
          <w:p w:rsidRPr="00436F0C" w:rsidR="00436F0C" w:rsidP="005B32C2" w:rsidRDefault="00436F0C" w14:paraId="2E7100B3" w14:textId="3CAE08E5">
            <w:pPr>
              <w:pStyle w:val="NoSpacing"/>
            </w:pPr>
            <w:r w:rsidRPr="00436F0C">
              <w:t>Commenting on a group of studies; a certain type of study has been done mostly in Scandinavia</w:t>
            </w:r>
          </w:p>
        </w:tc>
        <w:tc>
          <w:tcPr>
            <w:tcW w:w="1502" w:type="dxa"/>
          </w:tcPr>
          <w:p w:rsidR="00436F0C" w:rsidP="00436F0C" w:rsidRDefault="00436F0C" w14:paraId="4034B1A9" w14:textId="77777777">
            <w:pPr>
              <w:pStyle w:val="NoSpacing"/>
            </w:pPr>
          </w:p>
        </w:tc>
      </w:tr>
      <w:tr w:rsidR="00436F0C" w:rsidTr="005B32C2" w14:paraId="3FD8998E" w14:textId="77777777">
        <w:trPr>
          <w:trHeight w:val="828"/>
        </w:trPr>
        <w:tc>
          <w:tcPr>
            <w:tcW w:w="9072" w:type="dxa"/>
          </w:tcPr>
          <w:p w:rsidRPr="00436F0C" w:rsidR="00436F0C" w:rsidP="005B32C2" w:rsidRDefault="00436F0C" w14:paraId="040CA62F" w14:textId="6A5CC2BF">
            <w:pPr>
              <w:pStyle w:val="NoSpacing"/>
            </w:pPr>
            <w:r w:rsidRPr="00436F0C">
              <w:t>Saying how the findings of one study are similar to the findings in another study mentioned earlier</w:t>
            </w:r>
          </w:p>
        </w:tc>
        <w:tc>
          <w:tcPr>
            <w:tcW w:w="1502" w:type="dxa"/>
          </w:tcPr>
          <w:p w:rsidR="00436F0C" w:rsidP="00436F0C" w:rsidRDefault="00436F0C" w14:paraId="745018E9" w14:textId="77777777">
            <w:pPr>
              <w:pStyle w:val="NoSpacing"/>
            </w:pPr>
          </w:p>
        </w:tc>
      </w:tr>
      <w:tr w:rsidR="00436F0C" w:rsidTr="005B32C2" w14:paraId="0ECC8297" w14:textId="77777777">
        <w:trPr>
          <w:cnfStyle w:val="000000010000" w:firstRow="0" w:lastRow="0" w:firstColumn="0" w:lastColumn="0" w:oddVBand="0" w:evenVBand="0" w:oddHBand="0" w:evenHBand="1" w:firstRowFirstColumn="0" w:firstRowLastColumn="0" w:lastRowFirstColumn="0" w:lastRowLastColumn="0"/>
          <w:trHeight w:val="511"/>
        </w:trPr>
        <w:tc>
          <w:tcPr>
            <w:tcW w:w="9072" w:type="dxa"/>
          </w:tcPr>
          <w:p w:rsidRPr="00436F0C" w:rsidR="00436F0C" w:rsidP="005B32C2" w:rsidRDefault="00436F0C" w14:paraId="7387C09D" w14:textId="07B1174B">
            <w:pPr>
              <w:pStyle w:val="NoSpacing"/>
            </w:pPr>
            <w:r w:rsidRPr="00436F0C">
              <w:t>Mentioning good points in a particular research approach</w:t>
            </w:r>
          </w:p>
        </w:tc>
        <w:tc>
          <w:tcPr>
            <w:tcW w:w="1502" w:type="dxa"/>
          </w:tcPr>
          <w:p w:rsidR="00436F0C" w:rsidP="00436F0C" w:rsidRDefault="00436F0C" w14:paraId="39F533AF" w14:textId="77777777">
            <w:pPr>
              <w:pStyle w:val="NoSpacing"/>
            </w:pPr>
          </w:p>
        </w:tc>
      </w:tr>
      <w:tr w:rsidR="00436F0C" w:rsidTr="005B32C2" w14:paraId="1D616F31" w14:textId="77777777">
        <w:trPr>
          <w:trHeight w:val="524"/>
        </w:trPr>
        <w:tc>
          <w:tcPr>
            <w:tcW w:w="9072" w:type="dxa"/>
          </w:tcPr>
          <w:p w:rsidRPr="00436F0C" w:rsidR="00436F0C" w:rsidP="005B32C2" w:rsidRDefault="00436F0C" w14:paraId="56BA8F4E" w14:textId="1F9E1864">
            <w:pPr>
              <w:pStyle w:val="NoSpacing"/>
            </w:pPr>
            <w:r w:rsidRPr="00436F0C">
              <w:t>Making an introductory statement about research in your topic area</w:t>
            </w:r>
          </w:p>
        </w:tc>
        <w:tc>
          <w:tcPr>
            <w:tcW w:w="1502" w:type="dxa"/>
          </w:tcPr>
          <w:p w:rsidR="00436F0C" w:rsidP="00436F0C" w:rsidRDefault="00436F0C" w14:paraId="4E1882DE" w14:textId="77777777">
            <w:pPr>
              <w:pStyle w:val="NoSpacing"/>
            </w:pPr>
          </w:p>
        </w:tc>
      </w:tr>
      <w:tr w:rsidR="00436F0C" w:rsidTr="005B32C2" w14:paraId="288F8B7B" w14:textId="77777777">
        <w:trPr>
          <w:cnfStyle w:val="000000010000" w:firstRow="0" w:lastRow="0" w:firstColumn="0" w:lastColumn="0" w:oddVBand="0" w:evenVBand="0" w:oddHBand="0" w:evenHBand="1" w:firstRowFirstColumn="0" w:firstRowLastColumn="0" w:lastRowFirstColumn="0" w:lastRowLastColumn="0"/>
          <w:trHeight w:val="828"/>
        </w:trPr>
        <w:tc>
          <w:tcPr>
            <w:tcW w:w="9072" w:type="dxa"/>
          </w:tcPr>
          <w:p w:rsidRPr="00436F0C" w:rsidR="00436F0C" w:rsidP="005B32C2" w:rsidRDefault="00436F0C" w14:paraId="3DF37DE6" w14:textId="0EF46BB8">
            <w:pPr>
              <w:pStyle w:val="NoSpacing"/>
            </w:pPr>
            <w:r w:rsidRPr="00436F0C">
              <w:t>Saying which questions have not yet been researched (indicating a “gap in the literature”)</w:t>
            </w:r>
          </w:p>
        </w:tc>
        <w:tc>
          <w:tcPr>
            <w:tcW w:w="1502" w:type="dxa"/>
          </w:tcPr>
          <w:p w:rsidR="00436F0C" w:rsidP="00436F0C" w:rsidRDefault="00436F0C" w14:paraId="4131A4E4" w14:textId="77777777">
            <w:pPr>
              <w:pStyle w:val="NoSpacing"/>
            </w:pPr>
          </w:p>
        </w:tc>
      </w:tr>
      <w:tr w:rsidR="00436F0C" w:rsidTr="005B32C2" w14:paraId="64BAAB40" w14:textId="77777777">
        <w:trPr>
          <w:trHeight w:val="510"/>
        </w:trPr>
        <w:tc>
          <w:tcPr>
            <w:tcW w:w="9072" w:type="dxa"/>
          </w:tcPr>
          <w:p w:rsidRPr="00436F0C" w:rsidR="00436F0C" w:rsidP="005B32C2" w:rsidRDefault="00436F0C" w14:paraId="25E6C08E" w14:textId="6BC1F31C">
            <w:pPr>
              <w:pStyle w:val="NoSpacing"/>
            </w:pPr>
            <w:r w:rsidRPr="00436F0C">
              <w:t>Stressing the “gap” in the research literature will be filled by own study</w:t>
            </w:r>
          </w:p>
        </w:tc>
        <w:tc>
          <w:tcPr>
            <w:tcW w:w="1502" w:type="dxa"/>
          </w:tcPr>
          <w:p w:rsidR="00436F0C" w:rsidP="00436F0C" w:rsidRDefault="00436F0C" w14:paraId="2075DD62" w14:textId="77777777">
            <w:pPr>
              <w:pStyle w:val="NoSpacing"/>
            </w:pPr>
          </w:p>
        </w:tc>
      </w:tr>
      <w:tr w:rsidR="00436F0C" w:rsidTr="005B32C2" w14:paraId="7F48334E" w14:textId="77777777">
        <w:trPr>
          <w:cnfStyle w:val="000000010000" w:firstRow="0" w:lastRow="0" w:firstColumn="0" w:lastColumn="0" w:oddVBand="0" w:evenVBand="0" w:oddHBand="0" w:evenHBand="1" w:firstRowFirstColumn="0" w:firstRowLastColumn="0" w:lastRowFirstColumn="0" w:lastRowLastColumn="0"/>
          <w:trHeight w:val="510"/>
        </w:trPr>
        <w:tc>
          <w:tcPr>
            <w:tcW w:w="9072" w:type="dxa"/>
          </w:tcPr>
          <w:p w:rsidRPr="00436F0C" w:rsidR="00436F0C" w:rsidP="005B32C2" w:rsidRDefault="00436F0C" w14:paraId="11C0E7B1" w14:textId="379A6B4C">
            <w:pPr>
              <w:pStyle w:val="NoSpacing"/>
            </w:pPr>
            <w:r w:rsidRPr="00436F0C">
              <w:t>Giving an example of what one study found out</w:t>
            </w:r>
          </w:p>
        </w:tc>
        <w:tc>
          <w:tcPr>
            <w:tcW w:w="1502" w:type="dxa"/>
          </w:tcPr>
          <w:p w:rsidR="00436F0C" w:rsidP="00436F0C" w:rsidRDefault="00436F0C" w14:paraId="3085277A" w14:textId="77777777">
            <w:pPr>
              <w:pStyle w:val="NoSpacing"/>
            </w:pPr>
          </w:p>
        </w:tc>
      </w:tr>
      <w:tr w:rsidR="00436F0C" w:rsidTr="005B32C2" w14:paraId="184FA572" w14:textId="77777777">
        <w:trPr>
          <w:trHeight w:val="828"/>
        </w:trPr>
        <w:tc>
          <w:tcPr>
            <w:tcW w:w="9072" w:type="dxa"/>
          </w:tcPr>
          <w:p w:rsidRPr="00436F0C" w:rsidR="00436F0C" w:rsidP="005B32C2" w:rsidRDefault="00436F0C" w14:paraId="61D48F51" w14:textId="0E1F2758">
            <w:pPr>
              <w:pStyle w:val="NoSpacing"/>
            </w:pPr>
            <w:r w:rsidRPr="00436F0C">
              <w:t>Mentioning in what ways a particular research approach (or theory) has been criticised</w:t>
            </w:r>
          </w:p>
        </w:tc>
        <w:tc>
          <w:tcPr>
            <w:tcW w:w="1502" w:type="dxa"/>
          </w:tcPr>
          <w:p w:rsidR="00436F0C" w:rsidP="00436F0C" w:rsidRDefault="00436F0C" w14:paraId="328AF7C2" w14:textId="77777777">
            <w:pPr>
              <w:pStyle w:val="NoSpacing"/>
            </w:pPr>
          </w:p>
        </w:tc>
      </w:tr>
    </w:tbl>
    <w:p w:rsidR="005B32C2" w:rsidP="00BF01B3" w:rsidRDefault="005B32C2" w14:paraId="5D4270B9" w14:textId="77777777">
      <w:pPr>
        <w:pStyle w:val="NoSpacing"/>
        <w:rPr>
          <w:b/>
        </w:rPr>
      </w:pPr>
    </w:p>
    <w:p w:rsidR="005B32C2" w:rsidP="00BF01B3" w:rsidRDefault="005B32C2" w14:paraId="58EB5301" w14:textId="77777777">
      <w:pPr>
        <w:pStyle w:val="NoSpacing"/>
        <w:rPr>
          <w:b/>
        </w:rPr>
      </w:pPr>
    </w:p>
    <w:p w:rsidRPr="00436F0C" w:rsidR="00BF01B3" w:rsidP="00BF01B3" w:rsidRDefault="00BF01B3" w14:paraId="7BC830A4" w14:textId="01B50E16">
      <w:pPr>
        <w:pStyle w:val="NoSpacing"/>
      </w:pPr>
      <w:r w:rsidRPr="00436F0C">
        <w:rPr>
          <w:b/>
        </w:rPr>
        <w:lastRenderedPageBreak/>
        <w:t>Ta</w:t>
      </w:r>
      <w:r>
        <w:rPr>
          <w:b/>
        </w:rPr>
        <w:t>sk 3: Useful vocabulary and expressions</w:t>
      </w:r>
    </w:p>
    <w:p w:rsidRPr="00BF01B3" w:rsidR="000C2C07" w:rsidP="00BF01B3" w:rsidRDefault="00BF01B3" w14:paraId="66184A2A" w14:textId="0C5A1021">
      <w:pPr>
        <w:pStyle w:val="NoSpacing"/>
        <w:rPr>
          <w:i/>
        </w:rPr>
      </w:pPr>
      <w:r w:rsidRPr="00BF01B3">
        <w:rPr>
          <w:i/>
        </w:rPr>
        <w:t>Complete the table below with expressions from the literature review.</w:t>
      </w:r>
    </w:p>
    <w:tbl>
      <w:tblPr>
        <w:tblStyle w:val="TableGrid"/>
        <w:tblW w:w="0" w:type="auto"/>
        <w:tblInd w:w="108" w:type="dxa"/>
        <w:tblLook w:val="04A0" w:firstRow="1" w:lastRow="0" w:firstColumn="1" w:lastColumn="0" w:noHBand="0" w:noVBand="1"/>
      </w:tblPr>
      <w:tblGrid>
        <w:gridCol w:w="10574"/>
      </w:tblGrid>
      <w:tr w:rsidR="00BF01B3" w:rsidTr="65B73088" w14:paraId="575AC131" w14:textId="77777777">
        <w:trPr>
          <w:cnfStyle w:val="100000000000" w:firstRow="1" w:lastRow="0" w:firstColumn="0" w:lastColumn="0" w:oddVBand="0" w:evenVBand="0" w:oddHBand="0" w:evenHBand="0" w:firstRowFirstColumn="0" w:firstRowLastColumn="0" w:lastRowFirstColumn="0" w:lastRowLastColumn="0"/>
          <w:trHeight w:val="284"/>
        </w:trPr>
        <w:tc>
          <w:tcPr>
            <w:cnfStyle w:val="000000000000" w:firstRow="0" w:lastRow="0" w:firstColumn="0" w:lastColumn="0" w:oddVBand="0" w:evenVBand="0" w:oddHBand="0" w:evenHBand="0" w:firstRowFirstColumn="0" w:firstRowLastColumn="0" w:lastRowFirstColumn="0" w:lastRowLastColumn="0"/>
            <w:tcW w:w="10574" w:type="dxa"/>
            <w:shd w:val="clear" w:color="auto" w:fill="F2EFEE"/>
            <w:tcMar/>
          </w:tcPr>
          <w:p w:rsidRPr="00695ADA" w:rsidR="00BF01B3" w:rsidP="00695ADA" w:rsidRDefault="00BF01B3" w14:paraId="443C461E" w14:textId="6840DBF7">
            <w:pPr>
              <w:pStyle w:val="Bulletpoint"/>
              <w:rPr>
                <w:b/>
              </w:rPr>
            </w:pPr>
            <w:r w:rsidRPr="00695ADA">
              <w:rPr>
                <w:b/>
              </w:rPr>
              <w:t>Introductory phrases</w:t>
            </w:r>
          </w:p>
        </w:tc>
      </w:tr>
      <w:tr w:rsidR="00BF01B3" w:rsidTr="65B73088" w14:paraId="087C845D" w14:textId="77777777">
        <w:tc>
          <w:tcPr>
            <w:cnfStyle w:val="000000000000" w:firstRow="0" w:lastRow="0" w:firstColumn="0" w:lastColumn="0" w:oddVBand="0" w:evenVBand="0" w:oddHBand="0" w:evenHBand="0" w:firstRowFirstColumn="0" w:firstRowLastColumn="0" w:lastRowFirstColumn="0" w:lastRowLastColumn="0"/>
            <w:tcW w:w="10574" w:type="dxa"/>
            <w:tcMar/>
          </w:tcPr>
          <w:p w:rsidRPr="00695ADA" w:rsidR="00695ADA" w:rsidP="007E3C5A" w:rsidRDefault="007E3C5A" w14:paraId="4FB25BE7" w14:textId="272E92E7">
            <w:pPr>
              <w:pStyle w:val="NoSpacing"/>
            </w:pPr>
            <w:r w:rsidRPr="00695ADA">
              <w:t>- There are still relatively few published studies of...</w:t>
            </w:r>
          </w:p>
        </w:tc>
      </w:tr>
      <w:tr w:rsidR="00BF01B3" w:rsidTr="65B73088" w14:paraId="7B0858B1"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0574" w:type="dxa"/>
            <w:tcMar/>
          </w:tcPr>
          <w:p w:rsidRPr="00695ADA" w:rsidR="00BF01B3" w:rsidP="00695ADA" w:rsidRDefault="00BF01B3" w14:paraId="2BEE964A" w14:textId="071E7264">
            <w:pPr>
              <w:pStyle w:val="Bulletpoint"/>
            </w:pPr>
            <w:r w:rsidRPr="65B73088" w:rsidR="00BF01B3">
              <w:rPr>
                <w:color w:val="FFC000"/>
              </w:rPr>
              <w:t>Introducing a study / group of studies</w:t>
            </w:r>
          </w:p>
        </w:tc>
      </w:tr>
      <w:tr w:rsidR="00BF01B3" w:rsidTr="65B73088" w14:paraId="3D5B7546" w14:textId="77777777">
        <w:tc>
          <w:tcPr>
            <w:cnfStyle w:val="000000000000" w:firstRow="0" w:lastRow="0" w:firstColumn="0" w:lastColumn="0" w:oddVBand="0" w:evenVBand="0" w:oddHBand="0" w:evenHBand="0" w:firstRowFirstColumn="0" w:firstRowLastColumn="0" w:lastRowFirstColumn="0" w:lastRowLastColumn="0"/>
            <w:tcW w:w="10574" w:type="dxa"/>
            <w:tcMar/>
          </w:tcPr>
          <w:p w:rsidRPr="00695ADA" w:rsidR="00BF01B3" w:rsidP="007E3C5A" w:rsidRDefault="007E3C5A" w14:paraId="62D17EB6" w14:textId="0886FE6F">
            <w:pPr>
              <w:pStyle w:val="NoSpacing"/>
            </w:pPr>
            <w:r w:rsidRPr="00695ADA">
              <w:t>- Several studies have focused on...</w:t>
            </w:r>
          </w:p>
          <w:p w:rsidRPr="00695ADA" w:rsidR="007E3C5A" w:rsidP="007E3C5A" w:rsidRDefault="007E3C5A" w14:paraId="3524DD06" w14:textId="77AEE8DE">
            <w:pPr>
              <w:pStyle w:val="NoSpacing"/>
            </w:pPr>
            <w:r w:rsidRPr="00695ADA">
              <w:t>-</w:t>
            </w:r>
            <w:r w:rsidRPr="00695ADA" w:rsidR="009E18F5">
              <w:t xml:space="preserve"> </w:t>
            </w:r>
          </w:p>
          <w:p w:rsidRPr="00695ADA" w:rsidR="007E3C5A" w:rsidP="007E3C5A" w:rsidRDefault="007E3C5A" w14:paraId="4B65107B" w14:textId="0C2884D6">
            <w:pPr>
              <w:pStyle w:val="NoSpacing"/>
            </w:pPr>
            <w:r w:rsidRPr="00695ADA">
              <w:t>-</w:t>
            </w:r>
            <w:r w:rsidRPr="00695ADA" w:rsidR="009E18F5">
              <w:t xml:space="preserve"> </w:t>
            </w:r>
          </w:p>
          <w:p w:rsidRPr="00695ADA" w:rsidR="007E3C5A" w:rsidP="007E3C5A" w:rsidRDefault="007E3C5A" w14:paraId="0A3F66E7" w14:textId="3C7682E2">
            <w:pPr>
              <w:pStyle w:val="NoSpacing"/>
            </w:pPr>
            <w:r w:rsidRPr="00695ADA">
              <w:t>-</w:t>
            </w:r>
            <w:r w:rsidRPr="00695ADA" w:rsidR="009E18F5">
              <w:t xml:space="preserve"> </w:t>
            </w:r>
          </w:p>
        </w:tc>
      </w:tr>
      <w:tr w:rsidR="00BF01B3" w:rsidTr="65B73088" w14:paraId="65ABCC3F" w14:textId="77777777">
        <w:trPr>
          <w:cnfStyle w:val="000000010000" w:firstRow="0" w:lastRow="0" w:firstColumn="0" w:lastColumn="0" w:oddVBand="0" w:evenVBand="0" w:oddHBand="0" w:evenHBand="1" w:firstRowFirstColumn="0" w:firstRowLastColumn="0" w:lastRowFirstColumn="0" w:lastRowLastColumn="0"/>
          <w:trHeight w:val="330"/>
        </w:trPr>
        <w:tc>
          <w:tcPr>
            <w:cnfStyle w:val="000000000000" w:firstRow="0" w:lastRow="0" w:firstColumn="0" w:lastColumn="0" w:oddVBand="0" w:evenVBand="0" w:oddHBand="0" w:evenHBand="0" w:firstRowFirstColumn="0" w:firstRowLastColumn="0" w:lastRowFirstColumn="0" w:lastRowLastColumn="0"/>
            <w:tcW w:w="10574" w:type="dxa"/>
            <w:tcMar/>
          </w:tcPr>
          <w:p w:rsidRPr="00695ADA" w:rsidR="00BF01B3" w:rsidP="65B73088" w:rsidRDefault="00BF01B3" w14:paraId="78AED199" w14:textId="738E05D7">
            <w:pPr>
              <w:pStyle w:val="Bulletpoint"/>
              <w:rPr>
                <w:color w:val="00B050"/>
              </w:rPr>
            </w:pPr>
            <w:proofErr w:type="spellStart"/>
            <w:r w:rsidRPr="65B73088" w:rsidR="00BF01B3">
              <w:rPr>
                <w:color w:val="00B050"/>
              </w:rPr>
              <w:t>Summarising</w:t>
            </w:r>
            <w:proofErr w:type="spellEnd"/>
            <w:r w:rsidRPr="65B73088" w:rsidR="00BF01B3">
              <w:rPr>
                <w:color w:val="00B050"/>
              </w:rPr>
              <w:t xml:space="preserve"> the content of studies</w:t>
            </w:r>
            <w:r w:rsidRPr="65B73088" w:rsidR="007E3C5A">
              <w:rPr>
                <w:color w:val="00B050"/>
              </w:rPr>
              <w:t xml:space="preserve"> / rephrasing what other authors found/said</w:t>
            </w:r>
          </w:p>
        </w:tc>
      </w:tr>
      <w:tr w:rsidR="00BF01B3" w:rsidTr="65B73088" w14:paraId="21E75AC6" w14:textId="77777777">
        <w:tc>
          <w:tcPr>
            <w:cnfStyle w:val="000000000000" w:firstRow="0" w:lastRow="0" w:firstColumn="0" w:lastColumn="0" w:oddVBand="0" w:evenVBand="0" w:oddHBand="0" w:evenHBand="0" w:firstRowFirstColumn="0" w:firstRowLastColumn="0" w:lastRowFirstColumn="0" w:lastRowLastColumn="0"/>
            <w:tcW w:w="10574" w:type="dxa"/>
            <w:tcMar/>
          </w:tcPr>
          <w:p w:rsidRPr="00695ADA" w:rsidR="00BF01B3" w:rsidP="007E3C5A" w:rsidRDefault="007E3C5A" w14:paraId="799CB4BC" w14:textId="7FEA6B87">
            <w:pPr>
              <w:pStyle w:val="NoSpacing"/>
            </w:pPr>
            <w:r w:rsidRPr="00695ADA">
              <w:t>- Studies by Miller (2001) and Smith (2002) suggested that...</w:t>
            </w:r>
          </w:p>
          <w:p w:rsidRPr="00695ADA" w:rsidR="007E3C5A" w:rsidP="007E3C5A" w:rsidRDefault="007E3C5A" w14:paraId="0BCE89D6" w14:textId="1120FE32">
            <w:pPr>
              <w:pStyle w:val="NoSpacing"/>
            </w:pPr>
            <w:r w:rsidRPr="00695ADA">
              <w:t>-</w:t>
            </w:r>
            <w:r w:rsidRPr="00695ADA" w:rsidR="009E18F5">
              <w:t xml:space="preserve"> </w:t>
            </w:r>
          </w:p>
          <w:p w:rsidRPr="00695ADA" w:rsidR="007E3C5A" w:rsidP="007E3C5A" w:rsidRDefault="007E3C5A" w14:paraId="14B7B11C" w14:textId="39C47BD6">
            <w:pPr>
              <w:pStyle w:val="NoSpacing"/>
            </w:pPr>
            <w:r w:rsidRPr="00695ADA">
              <w:t>-</w:t>
            </w:r>
            <w:r w:rsidRPr="00695ADA" w:rsidR="009E18F5">
              <w:t xml:space="preserve"> </w:t>
            </w:r>
          </w:p>
          <w:p w:rsidRPr="00695ADA" w:rsidR="007E3C5A" w:rsidP="007E3C5A" w:rsidRDefault="007E3C5A" w14:paraId="2987E5F4" w14:textId="77777777">
            <w:pPr>
              <w:pStyle w:val="NoSpacing"/>
            </w:pPr>
            <w:r w:rsidRPr="00695ADA">
              <w:t>-</w:t>
            </w:r>
            <w:r w:rsidRPr="00695ADA" w:rsidR="009E18F5">
              <w:t xml:space="preserve"> </w:t>
            </w:r>
          </w:p>
          <w:p w:rsidRPr="00695ADA" w:rsidR="005D304A" w:rsidP="007E3C5A" w:rsidRDefault="005D304A" w14:paraId="5D8D90EA" w14:textId="77777777">
            <w:pPr>
              <w:pStyle w:val="NoSpacing"/>
            </w:pPr>
            <w:r w:rsidRPr="00695ADA">
              <w:t>-</w:t>
            </w:r>
          </w:p>
          <w:p w:rsidRPr="00695ADA" w:rsidR="005D304A" w:rsidP="007E3C5A" w:rsidRDefault="005D304A" w14:paraId="00CA1CDE" w14:textId="77777777">
            <w:pPr>
              <w:pStyle w:val="NoSpacing"/>
            </w:pPr>
            <w:r w:rsidRPr="00695ADA">
              <w:t>-</w:t>
            </w:r>
          </w:p>
          <w:p w:rsidRPr="00695ADA" w:rsidR="005D304A" w:rsidP="007E3C5A" w:rsidRDefault="005D304A" w14:paraId="40E0B462" w14:textId="77777777">
            <w:pPr>
              <w:pStyle w:val="NoSpacing"/>
            </w:pPr>
            <w:r w:rsidRPr="00695ADA">
              <w:t>-</w:t>
            </w:r>
          </w:p>
          <w:p w:rsidRPr="00695ADA" w:rsidR="00695ADA" w:rsidP="007E3C5A" w:rsidRDefault="00695ADA" w14:paraId="0AC77BDC" w14:textId="0774F6BC">
            <w:pPr>
              <w:pStyle w:val="NoSpacing"/>
            </w:pPr>
            <w:r w:rsidRPr="00695ADA">
              <w:t>-</w:t>
            </w:r>
          </w:p>
        </w:tc>
      </w:tr>
      <w:tr w:rsidR="00BF01B3" w:rsidTr="65B73088" w14:paraId="59B1E669"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0574" w:type="dxa"/>
            <w:tcMar/>
          </w:tcPr>
          <w:p w:rsidRPr="00695ADA" w:rsidR="00BF01B3" w:rsidP="65B73088" w:rsidRDefault="00BF01B3" w14:paraId="43922C14" w14:textId="2DDD4613">
            <w:pPr>
              <w:pStyle w:val="Bulletpoint"/>
              <w:rPr>
                <w:color w:val="00B0F0"/>
              </w:rPr>
            </w:pPr>
            <w:r w:rsidRPr="65B73088" w:rsidR="00BF01B3">
              <w:rPr>
                <w:color w:val="00B0F0"/>
              </w:rPr>
              <w:t>Commenting on existing literature</w:t>
            </w:r>
          </w:p>
        </w:tc>
      </w:tr>
      <w:tr w:rsidR="00BF01B3" w:rsidTr="65B73088" w14:paraId="6B39ECAD" w14:textId="77777777">
        <w:tc>
          <w:tcPr>
            <w:cnfStyle w:val="000000000000" w:firstRow="0" w:lastRow="0" w:firstColumn="0" w:lastColumn="0" w:oddVBand="0" w:evenVBand="0" w:oddHBand="0" w:evenHBand="0" w:firstRowFirstColumn="0" w:firstRowLastColumn="0" w:lastRowFirstColumn="0" w:lastRowLastColumn="0"/>
            <w:tcW w:w="10574" w:type="dxa"/>
            <w:tcMar/>
          </w:tcPr>
          <w:p w:rsidRPr="00695ADA" w:rsidR="00BF01B3" w:rsidP="007E3C5A" w:rsidRDefault="007E3C5A" w14:paraId="092878D6" w14:textId="6E0FFFF3">
            <w:pPr>
              <w:pStyle w:val="NoSpacing"/>
            </w:pPr>
            <w:r w:rsidRPr="00695ADA">
              <w:t>- This theory has been hailed as...</w:t>
            </w:r>
          </w:p>
          <w:p w:rsidRPr="00695ADA" w:rsidR="007E3C5A" w:rsidP="007E3C5A" w:rsidRDefault="007E3C5A" w14:paraId="2A83008B" w14:textId="542DBA84">
            <w:pPr>
              <w:pStyle w:val="NoSpacing"/>
            </w:pPr>
            <w:r w:rsidRPr="00695ADA">
              <w:t>-</w:t>
            </w:r>
            <w:r w:rsidRPr="00695ADA" w:rsidR="009E18F5">
              <w:t xml:space="preserve"> </w:t>
            </w:r>
          </w:p>
          <w:p w:rsidRPr="00695ADA" w:rsidR="007E3C5A" w:rsidP="007E3C5A" w:rsidRDefault="007E3C5A" w14:paraId="0B58C9B2" w14:textId="79593D28">
            <w:pPr>
              <w:pStyle w:val="NoSpacing"/>
            </w:pPr>
            <w:r w:rsidRPr="00695ADA">
              <w:t>-</w:t>
            </w:r>
            <w:r w:rsidRPr="00695ADA" w:rsidR="009E18F5">
              <w:t xml:space="preserve"> </w:t>
            </w:r>
          </w:p>
          <w:p w:rsidRPr="00695ADA" w:rsidR="007E3C5A" w:rsidP="007E3C5A" w:rsidRDefault="007E3C5A" w14:paraId="3FEB4306" w14:textId="6F8C1440">
            <w:pPr>
              <w:pStyle w:val="NoSpacing"/>
            </w:pPr>
            <w:r w:rsidRPr="00695ADA">
              <w:t>-</w:t>
            </w:r>
            <w:r w:rsidRPr="00695ADA" w:rsidR="009E18F5">
              <w:t xml:space="preserve"> </w:t>
            </w:r>
          </w:p>
          <w:p w:rsidRPr="00695ADA" w:rsidR="007E3C5A" w:rsidP="007E3C5A" w:rsidRDefault="007E3C5A" w14:paraId="53BE4EE3" w14:textId="6BF1CAAB">
            <w:pPr>
              <w:pStyle w:val="NoSpacing"/>
            </w:pPr>
            <w:r w:rsidRPr="00695ADA">
              <w:t>-</w:t>
            </w:r>
            <w:r w:rsidRPr="00695ADA" w:rsidR="009E18F5">
              <w:t xml:space="preserve"> </w:t>
            </w:r>
          </w:p>
          <w:p w:rsidRPr="00695ADA" w:rsidR="007E3C5A" w:rsidP="007E3C5A" w:rsidRDefault="007E3C5A" w14:paraId="655040C3" w14:textId="35F8DFDB">
            <w:pPr>
              <w:pStyle w:val="NoSpacing"/>
            </w:pPr>
            <w:r w:rsidRPr="00695ADA">
              <w:t>-</w:t>
            </w:r>
            <w:r w:rsidRPr="00695ADA" w:rsidR="009E18F5">
              <w:t xml:space="preserve"> </w:t>
            </w:r>
          </w:p>
          <w:p w:rsidRPr="00695ADA" w:rsidR="007E3C5A" w:rsidP="007E3C5A" w:rsidRDefault="007E3C5A" w14:paraId="2D2A49B0" w14:textId="77777777">
            <w:pPr>
              <w:pStyle w:val="NoSpacing"/>
            </w:pPr>
            <w:r w:rsidRPr="00695ADA">
              <w:t>-</w:t>
            </w:r>
            <w:r w:rsidRPr="00695ADA" w:rsidR="009E18F5">
              <w:t xml:space="preserve"> </w:t>
            </w:r>
          </w:p>
          <w:p w:rsidRPr="00695ADA" w:rsidR="00695ADA" w:rsidP="007E3C5A" w:rsidRDefault="00695ADA" w14:paraId="4A59B20A" w14:textId="77777777">
            <w:pPr>
              <w:pStyle w:val="NoSpacing"/>
            </w:pPr>
            <w:r w:rsidRPr="00695ADA">
              <w:t>-</w:t>
            </w:r>
          </w:p>
          <w:p w:rsidRPr="00695ADA" w:rsidR="00695ADA" w:rsidP="007E3C5A" w:rsidRDefault="00695ADA" w14:paraId="39E6EDB4" w14:textId="76DAF0B4">
            <w:pPr>
              <w:pStyle w:val="NoSpacing"/>
            </w:pPr>
            <w:r w:rsidRPr="00695ADA">
              <w:t>-</w:t>
            </w:r>
          </w:p>
        </w:tc>
      </w:tr>
      <w:tr w:rsidR="00BF01B3" w:rsidTr="65B73088" w14:paraId="3B47D1F8"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0574" w:type="dxa"/>
            <w:tcMar/>
          </w:tcPr>
          <w:p w:rsidRPr="00695ADA" w:rsidR="00BF01B3" w:rsidP="00695ADA" w:rsidRDefault="00BF01B3" w14:paraId="4662118B" w14:textId="1CD610C9">
            <w:pPr>
              <w:pStyle w:val="Bulletpoint"/>
            </w:pPr>
            <w:r w:rsidRPr="00695ADA">
              <w:t>Highlighting a gap in the literature</w:t>
            </w:r>
          </w:p>
        </w:tc>
      </w:tr>
      <w:tr w:rsidR="00BF01B3" w:rsidTr="65B73088" w14:paraId="558E8AEF" w14:textId="77777777">
        <w:tc>
          <w:tcPr>
            <w:cnfStyle w:val="000000000000" w:firstRow="0" w:lastRow="0" w:firstColumn="0" w:lastColumn="0" w:oddVBand="0" w:evenVBand="0" w:oddHBand="0" w:evenHBand="0" w:firstRowFirstColumn="0" w:firstRowLastColumn="0" w:lastRowFirstColumn="0" w:lastRowLastColumn="0"/>
            <w:tcW w:w="10574" w:type="dxa"/>
            <w:tcMar/>
          </w:tcPr>
          <w:p w:rsidRPr="00695ADA" w:rsidR="00BF01B3" w:rsidP="007E3C5A" w:rsidRDefault="007E3C5A" w14:paraId="71F2FF40" w14:textId="4C473C2C">
            <w:pPr>
              <w:pStyle w:val="NoSpacing"/>
            </w:pPr>
            <w:r w:rsidRPr="00695ADA">
              <w:t>- There is, however, relatively little research evidence concerning...</w:t>
            </w:r>
          </w:p>
          <w:p w:rsidRPr="00695ADA" w:rsidR="007E3C5A" w:rsidP="007E3C5A" w:rsidRDefault="007E3C5A" w14:paraId="123737C2" w14:textId="41784135">
            <w:pPr>
              <w:pStyle w:val="NoSpacing"/>
            </w:pPr>
            <w:r w:rsidRPr="00695ADA">
              <w:t>-</w:t>
            </w:r>
            <w:r w:rsidRPr="00695ADA" w:rsidR="009E18F5">
              <w:t xml:space="preserve"> </w:t>
            </w:r>
          </w:p>
          <w:p w:rsidRPr="00695ADA" w:rsidR="005D304A" w:rsidP="007E3C5A" w:rsidRDefault="007E3C5A" w14:paraId="68F68D10" w14:textId="5385FC00">
            <w:pPr>
              <w:pStyle w:val="NoSpacing"/>
            </w:pPr>
            <w:r w:rsidRPr="00695ADA">
              <w:t>-</w:t>
            </w:r>
            <w:r w:rsidRPr="00695ADA" w:rsidR="009E18F5">
              <w:t xml:space="preserve"> </w:t>
            </w:r>
          </w:p>
        </w:tc>
      </w:tr>
      <w:tr w:rsidR="00BF01B3" w:rsidTr="65B73088" w14:paraId="3A998056"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0574" w:type="dxa"/>
            <w:tcMar/>
          </w:tcPr>
          <w:p w:rsidRPr="00695ADA" w:rsidR="00BF01B3" w:rsidP="00695ADA" w:rsidRDefault="00BF01B3" w14:paraId="147A8052" w14:textId="262DF08D">
            <w:pPr>
              <w:pStyle w:val="Bulletpoint"/>
            </w:pPr>
            <w:r w:rsidRPr="00695ADA">
              <w:t>Concluding phrases</w:t>
            </w:r>
          </w:p>
        </w:tc>
      </w:tr>
      <w:tr w:rsidR="00BF01B3" w:rsidTr="65B73088" w14:paraId="11B501B4" w14:textId="77777777">
        <w:tc>
          <w:tcPr>
            <w:cnfStyle w:val="000000000000" w:firstRow="0" w:lastRow="0" w:firstColumn="0" w:lastColumn="0" w:oddVBand="0" w:evenVBand="0" w:oddHBand="0" w:evenHBand="0" w:firstRowFirstColumn="0" w:firstRowLastColumn="0" w:lastRowFirstColumn="0" w:lastRowLastColumn="0"/>
            <w:tcW w:w="10574" w:type="dxa"/>
            <w:tcMar/>
          </w:tcPr>
          <w:p w:rsidRPr="00695ADA" w:rsidR="005D304A" w:rsidP="007E3C5A" w:rsidRDefault="007E3C5A" w14:paraId="153E4A4C" w14:textId="40C679AA">
            <w:pPr>
              <w:pStyle w:val="NoSpacing"/>
            </w:pPr>
            <w:r w:rsidRPr="00695ADA">
              <w:t>- This study sets out, then, to...</w:t>
            </w:r>
          </w:p>
        </w:tc>
      </w:tr>
    </w:tbl>
    <w:p w:rsidR="00BA2A11" w:rsidP="00436F0C" w:rsidRDefault="00BA2A11" w14:paraId="5DDFFE1C" w14:textId="77777777">
      <w:pPr>
        <w:pStyle w:val="NoSpacing"/>
      </w:pPr>
    </w:p>
    <w:p w:rsidRPr="00BA2A11" w:rsidR="00695ADA" w:rsidP="00436F0C" w:rsidRDefault="00695ADA" w14:paraId="19364F1E" w14:textId="0DBB4C11">
      <w:pPr>
        <w:pStyle w:val="NoSpacing"/>
        <w:rPr>
          <w:sz w:val="20"/>
          <w:szCs w:val="20"/>
        </w:rPr>
      </w:pPr>
      <w:r w:rsidRPr="00BA2A11">
        <w:rPr>
          <w:sz w:val="20"/>
          <w:szCs w:val="20"/>
        </w:rPr>
        <w:t xml:space="preserve">Tasks adapted from: Janik, C. (2008) What is a literature review? An </w:t>
      </w:r>
      <w:r w:rsidRPr="00BA2A11" w:rsidR="00BA2A11">
        <w:rPr>
          <w:sz w:val="20"/>
          <w:szCs w:val="20"/>
        </w:rPr>
        <w:t>introduction</w:t>
      </w:r>
      <w:r w:rsidRPr="00BA2A11">
        <w:rPr>
          <w:sz w:val="20"/>
          <w:szCs w:val="20"/>
        </w:rPr>
        <w:t xml:space="preserve"> [</w:t>
      </w:r>
      <w:r w:rsidRPr="00BA2A11" w:rsidR="00BA2A11">
        <w:rPr>
          <w:sz w:val="20"/>
          <w:szCs w:val="20"/>
        </w:rPr>
        <w:t>O</w:t>
      </w:r>
      <w:r w:rsidRPr="00BA2A11">
        <w:rPr>
          <w:sz w:val="20"/>
          <w:szCs w:val="20"/>
        </w:rPr>
        <w:t>nline]</w:t>
      </w:r>
      <w:r w:rsidRPr="00BA2A11" w:rsidR="00BA2A11">
        <w:rPr>
          <w:sz w:val="20"/>
          <w:szCs w:val="20"/>
        </w:rPr>
        <w:t xml:space="preserve"> Avai</w:t>
      </w:r>
      <w:r w:rsidR="00B63137">
        <w:rPr>
          <w:sz w:val="20"/>
          <w:szCs w:val="20"/>
        </w:rPr>
        <w:t>la</w:t>
      </w:r>
      <w:r w:rsidRPr="00BA2A11" w:rsidR="00BA2A11">
        <w:rPr>
          <w:sz w:val="20"/>
          <w:szCs w:val="20"/>
        </w:rPr>
        <w:t xml:space="preserve">ble from: </w:t>
      </w:r>
      <w:hyperlink w:history="1" r:id="rId12">
        <w:r w:rsidRPr="00BA2A11" w:rsidR="00BA2A11">
          <w:rPr>
            <w:rStyle w:val="Hyperlink"/>
            <w:sz w:val="20"/>
            <w:szCs w:val="20"/>
          </w:rPr>
          <w:t>http://www.textworks4u.de/wp-content/uploads/LiteratureReview/Literature_Review_Writing.html</w:t>
        </w:r>
      </w:hyperlink>
      <w:r w:rsidR="00BA2A11">
        <w:rPr>
          <w:sz w:val="20"/>
          <w:szCs w:val="20"/>
        </w:rPr>
        <w:t xml:space="preserve"> [Accessed 06 June 2019]</w:t>
      </w:r>
    </w:p>
    <w:p w:rsidR="00BA2A11" w:rsidP="00436F0C" w:rsidRDefault="00BA2A11" w14:paraId="6B97E6C2" w14:textId="77777777">
      <w:pPr>
        <w:pStyle w:val="NoSpacing"/>
      </w:pPr>
    </w:p>
    <w:tbl>
      <w:tblPr>
        <w:tblStyle w:val="TableGrid"/>
        <w:tblW w:w="0" w:type="auto"/>
        <w:tblLook w:val="04A0" w:firstRow="1" w:lastRow="0" w:firstColumn="1" w:lastColumn="0" w:noHBand="0" w:noVBand="1"/>
      </w:tblPr>
      <w:tblGrid>
        <w:gridCol w:w="5341"/>
        <w:gridCol w:w="5341"/>
      </w:tblGrid>
      <w:tr w:rsidR="000C2C07" w:rsidTr="00CB1246" w14:paraId="243A862F" w14:textId="77777777">
        <w:trPr>
          <w:cnfStyle w:val="100000000000" w:firstRow="1" w:lastRow="0" w:firstColumn="0" w:lastColumn="0" w:oddVBand="0" w:evenVBand="0" w:oddHBand="0" w:evenHBand="0" w:firstRowFirstColumn="0" w:firstRowLastColumn="0" w:lastRowFirstColumn="0" w:lastRowLastColumn="0"/>
        </w:trPr>
        <w:tc>
          <w:tcPr>
            <w:tcW w:w="5341" w:type="dxa"/>
          </w:tcPr>
          <w:p w:rsidR="000C2C07" w:rsidP="00436F0C" w:rsidRDefault="000C2C07" w14:paraId="739CAD7B" w14:textId="77777777">
            <w:pPr>
              <w:pStyle w:val="NoSpacing"/>
            </w:pPr>
            <w:r>
              <w:lastRenderedPageBreak/>
              <w:t>Module Learning Outcomes Covered</w:t>
            </w:r>
          </w:p>
        </w:tc>
        <w:tc>
          <w:tcPr>
            <w:tcW w:w="5341" w:type="dxa"/>
          </w:tcPr>
          <w:p w:rsidR="000C2C07" w:rsidP="00436F0C" w:rsidRDefault="000C2C07" w14:paraId="5CB844F6" w14:textId="77777777">
            <w:pPr>
              <w:pStyle w:val="NoSpacing"/>
            </w:pPr>
            <w:r>
              <w:t>Academic Literacies Covered</w:t>
            </w:r>
          </w:p>
        </w:tc>
      </w:tr>
      <w:tr w:rsidR="000C2C07" w:rsidTr="00CB1246" w14:paraId="2B1284B5" w14:textId="77777777">
        <w:sdt>
          <w:sdtPr>
            <w:id w:val="-478691781"/>
            <w:placeholder>
              <w:docPart w:val="314B615A75EE45639F0615A4AF2AF04F"/>
            </w:placeholde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rsidR="000C2C07" w:rsidP="00436F0C" w:rsidRDefault="00310599" w14:paraId="743A735E" w14:textId="2B1E8F0C">
                <w:pPr>
                  <w:pStyle w:val="NoSpacing"/>
                </w:pPr>
                <w:r>
                  <w:t>ML3</w:t>
                </w:r>
              </w:p>
            </w:tc>
          </w:sdtContent>
        </w:sdt>
        <w:sdt>
          <w:sdtPr>
            <w:id w:val="226896041"/>
            <w:placeholder>
              <w:docPart w:val="81F005CAAE7D4D089F8B6E92590034EA"/>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rsidR="000C2C07" w:rsidP="00436F0C" w:rsidRDefault="00310599" w14:paraId="0168C321" w14:textId="37CA0921">
                <w:pPr>
                  <w:pStyle w:val="NoSpacing"/>
                </w:pPr>
                <w:r>
                  <w:t>AL1</w:t>
                </w:r>
              </w:p>
            </w:tc>
          </w:sdtContent>
        </w:sdt>
      </w:tr>
      <w:tr w:rsidR="000C2C07" w:rsidTr="00CB1246" w14:paraId="355F5461" w14:textId="77777777">
        <w:trPr>
          <w:cnfStyle w:val="000000010000" w:firstRow="0" w:lastRow="0" w:firstColumn="0" w:lastColumn="0" w:oddVBand="0" w:evenVBand="0" w:oddHBand="0" w:evenHBand="1" w:firstRowFirstColumn="0" w:firstRowLastColumn="0" w:lastRowFirstColumn="0" w:lastRowLastColumn="0"/>
        </w:trPr>
        <w:sdt>
          <w:sdtPr>
            <w:id w:val="-462195110"/>
            <w:placeholder>
              <w:docPart w:val="7ED63CDEE2A442F680B56635A0FD32B8"/>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rsidR="000C2C07" w:rsidP="00436F0C" w:rsidRDefault="000C2C07" w14:paraId="0079E4AF" w14:textId="77777777">
                <w:pPr>
                  <w:pStyle w:val="NoSpacing"/>
                </w:pPr>
                <w:r w:rsidRPr="0068725C">
                  <w:rPr>
                    <w:rStyle w:val="PlaceholderText"/>
                  </w:rPr>
                  <w:t>Choose an item.</w:t>
                </w:r>
              </w:p>
            </w:tc>
          </w:sdtContent>
        </w:sdt>
        <w:sdt>
          <w:sdtPr>
            <w:id w:val="-370159000"/>
            <w:placeholder>
              <w:docPart w:val="FFF4E259BD74434BBD26D686681CCC7E"/>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rsidR="000C2C07" w:rsidP="00436F0C" w:rsidRDefault="00310599" w14:paraId="5F46ACC8" w14:textId="439814D7">
                <w:pPr>
                  <w:pStyle w:val="NoSpacing"/>
                </w:pPr>
                <w:r>
                  <w:t>AL5</w:t>
                </w:r>
              </w:p>
            </w:tc>
          </w:sdtContent>
        </w:sdt>
      </w:tr>
      <w:tr w:rsidR="000C2C07" w:rsidTr="00CB1246" w14:paraId="5F291237" w14:textId="77777777">
        <w:sdt>
          <w:sdtPr>
            <w:id w:val="647944694"/>
            <w:placeholder>
              <w:docPart w:val="118FD174E97940F6AD517238D94466C5"/>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rsidR="000C2C07" w:rsidP="00436F0C" w:rsidRDefault="000C2C07" w14:paraId="2534E129" w14:textId="77777777">
                <w:pPr>
                  <w:pStyle w:val="NoSpacing"/>
                </w:pPr>
                <w:r w:rsidRPr="0068725C">
                  <w:rPr>
                    <w:rStyle w:val="PlaceholderText"/>
                  </w:rPr>
                  <w:t>Choose an item.</w:t>
                </w:r>
              </w:p>
            </w:tc>
          </w:sdtContent>
        </w:sdt>
        <w:sdt>
          <w:sdtPr>
            <w:id w:val="-99649399"/>
            <w:placeholder>
              <w:docPart w:val="CB02C16CD0C6458A98EFC1EE53F4C6B9"/>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rsidR="000C2C07" w:rsidP="00436F0C" w:rsidRDefault="00310599" w14:paraId="78AEA627" w14:textId="71336BB8">
                <w:pPr>
                  <w:pStyle w:val="NoSpacing"/>
                </w:pPr>
                <w:r>
                  <w:t>AL8</w:t>
                </w:r>
              </w:p>
            </w:tc>
          </w:sdtContent>
        </w:sdt>
      </w:tr>
    </w:tbl>
    <w:p w:rsidRPr="00163C68" w:rsidR="000C2C07" w:rsidP="00436F0C" w:rsidRDefault="000C2C07" w14:paraId="45AC9F1F" w14:textId="77777777">
      <w:pPr>
        <w:pStyle w:val="NoSpacing"/>
      </w:pPr>
    </w:p>
    <w:sectPr w:rsidRPr="00163C68" w:rsidR="000C2C07" w:rsidSect="00704099">
      <w:footerReference w:type="default" r:id="rId13"/>
      <w:headerReference w:type="first" r:id="rId14"/>
      <w:footerReference w:type="first" r:id="rId15"/>
      <w:pgSz w:w="11906" w:h="16838" w:orient="portrait"/>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776" w:rsidP="00FB05A8" w:rsidRDefault="00482776" w14:paraId="18CD4668" w14:textId="77777777">
      <w:r>
        <w:separator/>
      </w:r>
    </w:p>
  </w:endnote>
  <w:endnote w:type="continuationSeparator" w:id="0">
    <w:p w:rsidR="00482776" w:rsidP="00FB05A8" w:rsidRDefault="00482776" w14:paraId="6ADBA4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Grande">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rsidTr="00DF61A6" w14:paraId="741E2FB0" w14:textId="77777777">
      <w:tc>
        <w:tcPr>
          <w:tcW w:w="567" w:type="dxa"/>
          <w:shd w:val="clear" w:color="auto" w:fill="282878"/>
          <w:vAlign w:val="center"/>
        </w:tcPr>
        <w:p w:rsidRPr="00662DF8" w:rsidR="00D24386" w:rsidP="00D24386" w:rsidRDefault="00D24386" w14:paraId="3C1B471A" w14:textId="77777777">
          <w:pPr>
            <w:pStyle w:val="Footer"/>
            <w:rPr>
              <w:sz w:val="10"/>
              <w:szCs w:val="10"/>
            </w:rPr>
          </w:pPr>
        </w:p>
      </w:tc>
      <w:tc>
        <w:tcPr>
          <w:tcW w:w="5245" w:type="dxa"/>
          <w:shd w:val="clear" w:color="auto" w:fill="282878"/>
          <w:vAlign w:val="center"/>
        </w:tcPr>
        <w:p w:rsidRPr="00662DF8" w:rsidR="00D24386" w:rsidP="00D24386" w:rsidRDefault="00DF61A6" w14:paraId="7D837BBF" w14:textId="77777777">
          <w:pPr>
            <w:pStyle w:val="Footer"/>
          </w:pPr>
          <w:r w:rsidRPr="00DF61A6">
            <w:rPr>
              <w:color w:val="FF0000"/>
            </w:rPr>
            <w:t>|</w:t>
          </w:r>
          <w:r w:rsidRPr="00662DF8">
            <w:t xml:space="preserve">  </w:t>
          </w:r>
          <w:r w:rsidRPr="00662DF8" w:rsidR="00D24386">
            <w:t>Kaplan International Pathways</w:t>
          </w:r>
        </w:p>
      </w:tc>
      <w:tc>
        <w:tcPr>
          <w:tcW w:w="3261" w:type="dxa"/>
          <w:shd w:val="clear" w:color="auto" w:fill="282878"/>
          <w:vAlign w:val="center"/>
        </w:tcPr>
        <w:p w:rsidRPr="00662DF8" w:rsidR="00D24386" w:rsidP="00D24386" w:rsidRDefault="00DF61A6" w14:paraId="382F3D48" w14:textId="77777777">
          <w:pPr>
            <w:pStyle w:val="Footer"/>
          </w:pPr>
          <w:r w:rsidRPr="00DF61A6">
            <w:rPr>
              <w:color w:val="FF0000"/>
            </w:rPr>
            <w:t>|</w:t>
          </w:r>
          <w:r w:rsidRPr="00662DF8">
            <w:t xml:space="preserve">  </w:t>
          </w:r>
          <w:r w:rsidRPr="00662DF8" w:rsidR="00D24386">
            <w:fldChar w:fldCharType="begin"/>
          </w:r>
          <w:r w:rsidRPr="00662DF8" w:rsidR="00D24386">
            <w:instrText xml:space="preserve"> PAGE   \* MERGEFORMAT </w:instrText>
          </w:r>
          <w:r w:rsidRPr="00662DF8" w:rsidR="00D24386">
            <w:fldChar w:fldCharType="separate"/>
          </w:r>
          <w:r w:rsidR="00A12880">
            <w:rPr>
              <w:noProof/>
            </w:rPr>
            <w:t>4</w:t>
          </w:r>
          <w:r w:rsidRPr="00662DF8" w:rsidR="00D24386">
            <w:rPr>
              <w:noProof/>
            </w:rPr>
            <w:fldChar w:fldCharType="end"/>
          </w:r>
        </w:p>
      </w:tc>
      <w:tc>
        <w:tcPr>
          <w:tcW w:w="2835" w:type="dxa"/>
          <w:shd w:val="clear" w:color="auto" w:fill="282878"/>
          <w:vAlign w:val="center"/>
        </w:tcPr>
        <w:p w:rsidRPr="00662DF8" w:rsidR="00D24386" w:rsidP="00D24386" w:rsidRDefault="00DF61A6" w14:paraId="074EC668" w14:textId="77777777">
          <w:pPr>
            <w:pStyle w:val="Footer"/>
          </w:pPr>
          <w:r w:rsidRPr="00DF61A6">
            <w:rPr>
              <w:color w:val="FF0000"/>
            </w:rPr>
            <w:t>|</w:t>
          </w:r>
          <w:r w:rsidRPr="00662DF8">
            <w:t xml:space="preserve">  k</w:t>
          </w:r>
          <w:r w:rsidRPr="00662DF8" w:rsidR="00D24386">
            <w:t>aplanpathways.com</w:t>
          </w:r>
        </w:p>
      </w:tc>
    </w:tr>
    <w:tr w:rsidRPr="00D24386" w:rsidR="00D24386" w:rsidTr="00DF61A6" w14:paraId="51B97FC2" w14:textId="77777777">
      <w:tc>
        <w:tcPr>
          <w:tcW w:w="567" w:type="dxa"/>
          <w:shd w:val="clear" w:color="auto" w:fill="282878"/>
        </w:tcPr>
        <w:p w:rsidRPr="00662DF8" w:rsidR="00D24386" w:rsidP="00D24386" w:rsidRDefault="00D24386" w14:paraId="45185DB6" w14:textId="77777777">
          <w:pPr>
            <w:pStyle w:val="Footer"/>
            <w:rPr>
              <w:sz w:val="4"/>
              <w:szCs w:val="4"/>
            </w:rPr>
          </w:pPr>
        </w:p>
      </w:tc>
      <w:tc>
        <w:tcPr>
          <w:tcW w:w="5245" w:type="dxa"/>
          <w:shd w:val="clear" w:color="auto" w:fill="282878"/>
        </w:tcPr>
        <w:p w:rsidRPr="00662DF8" w:rsidR="00D24386" w:rsidP="00D24386" w:rsidRDefault="00D24386" w14:paraId="52CFE2D0" w14:textId="77777777">
          <w:pPr>
            <w:pStyle w:val="Footer"/>
            <w:rPr>
              <w:sz w:val="4"/>
              <w:szCs w:val="4"/>
            </w:rPr>
          </w:pPr>
        </w:p>
      </w:tc>
      <w:tc>
        <w:tcPr>
          <w:tcW w:w="3261" w:type="dxa"/>
          <w:shd w:val="clear" w:color="auto" w:fill="282878"/>
        </w:tcPr>
        <w:p w:rsidRPr="00662DF8" w:rsidR="00D24386" w:rsidP="00D24386" w:rsidRDefault="00D24386" w14:paraId="0C3D1B49" w14:textId="77777777">
          <w:pPr>
            <w:pStyle w:val="Footer"/>
            <w:rPr>
              <w:sz w:val="4"/>
              <w:szCs w:val="4"/>
            </w:rPr>
          </w:pPr>
        </w:p>
      </w:tc>
      <w:tc>
        <w:tcPr>
          <w:tcW w:w="2835" w:type="dxa"/>
          <w:shd w:val="clear" w:color="auto" w:fill="282878"/>
        </w:tcPr>
        <w:p w:rsidRPr="00662DF8" w:rsidR="00D24386" w:rsidP="00D24386" w:rsidRDefault="00D24386" w14:paraId="1F4C6B34" w14:textId="77777777">
          <w:pPr>
            <w:pStyle w:val="Footer"/>
            <w:rPr>
              <w:sz w:val="4"/>
              <w:szCs w:val="4"/>
            </w:rPr>
          </w:pPr>
        </w:p>
      </w:tc>
    </w:tr>
  </w:tbl>
  <w:p w:rsidRPr="00636173" w:rsidR="00636173" w:rsidP="00D24386" w:rsidRDefault="00636173" w14:paraId="54671575" w14:textId="77777777">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rsidTr="00662DF8" w14:paraId="24633B8C" w14:textId="77777777">
      <w:tc>
        <w:tcPr>
          <w:tcW w:w="567" w:type="dxa"/>
          <w:shd w:val="clear" w:color="auto" w:fill="282878"/>
          <w:vAlign w:val="center"/>
        </w:tcPr>
        <w:p w:rsidRPr="00662DF8" w:rsidR="00DF61A6" w:rsidP="00662DF8" w:rsidRDefault="00DF61A6" w14:paraId="1412C3B2" w14:textId="77777777">
          <w:pPr>
            <w:pStyle w:val="Footer"/>
            <w:rPr>
              <w:sz w:val="10"/>
              <w:szCs w:val="10"/>
            </w:rPr>
          </w:pPr>
        </w:p>
      </w:tc>
      <w:tc>
        <w:tcPr>
          <w:tcW w:w="5245" w:type="dxa"/>
          <w:shd w:val="clear" w:color="auto" w:fill="282878"/>
          <w:vAlign w:val="center"/>
        </w:tcPr>
        <w:p w:rsidRPr="00662DF8" w:rsidR="00DF61A6" w:rsidP="00662DF8" w:rsidRDefault="00DF61A6" w14:paraId="2EEA3BA3" w14:textId="77777777">
          <w:pPr>
            <w:pStyle w:val="Footer"/>
          </w:pPr>
          <w:r w:rsidRPr="00DF61A6">
            <w:rPr>
              <w:color w:val="FF0000"/>
            </w:rPr>
            <w:t>|</w:t>
          </w:r>
          <w:r w:rsidRPr="00662DF8">
            <w:t xml:space="preserve">  Kaplan International Pathways</w:t>
          </w:r>
        </w:p>
      </w:tc>
      <w:tc>
        <w:tcPr>
          <w:tcW w:w="3261" w:type="dxa"/>
          <w:shd w:val="clear" w:color="auto" w:fill="282878"/>
          <w:vAlign w:val="center"/>
        </w:tcPr>
        <w:p w:rsidRPr="00662DF8" w:rsidR="00DF61A6" w:rsidP="00662DF8" w:rsidRDefault="00DF61A6" w14:paraId="6AFEA9FD" w14:textId="77777777">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A12880">
            <w:rPr>
              <w:noProof/>
            </w:rPr>
            <w:t>1</w:t>
          </w:r>
          <w:r w:rsidRPr="00662DF8">
            <w:rPr>
              <w:noProof/>
            </w:rPr>
            <w:fldChar w:fldCharType="end"/>
          </w:r>
        </w:p>
      </w:tc>
      <w:tc>
        <w:tcPr>
          <w:tcW w:w="2835" w:type="dxa"/>
          <w:shd w:val="clear" w:color="auto" w:fill="282878"/>
          <w:vAlign w:val="center"/>
        </w:tcPr>
        <w:p w:rsidRPr="00662DF8" w:rsidR="00DF61A6" w:rsidP="00662DF8" w:rsidRDefault="00DF61A6" w14:paraId="46CC3D94" w14:textId="77777777">
          <w:pPr>
            <w:pStyle w:val="Footer"/>
          </w:pPr>
          <w:r w:rsidRPr="00DF61A6">
            <w:rPr>
              <w:color w:val="FF0000"/>
            </w:rPr>
            <w:t>|</w:t>
          </w:r>
          <w:r w:rsidRPr="00662DF8">
            <w:t xml:space="preserve">  kaplanpathways.com</w:t>
          </w:r>
        </w:p>
      </w:tc>
    </w:tr>
    <w:tr w:rsidRPr="00D24386" w:rsidR="00DF61A6" w:rsidTr="00662DF8" w14:paraId="138DF0D8" w14:textId="77777777">
      <w:tc>
        <w:tcPr>
          <w:tcW w:w="567" w:type="dxa"/>
          <w:shd w:val="clear" w:color="auto" w:fill="282878"/>
        </w:tcPr>
        <w:p w:rsidRPr="00662DF8" w:rsidR="00DF61A6" w:rsidP="00662DF8" w:rsidRDefault="00DF61A6" w14:paraId="0DF0291A" w14:textId="77777777">
          <w:pPr>
            <w:pStyle w:val="Footer"/>
            <w:rPr>
              <w:sz w:val="4"/>
              <w:szCs w:val="4"/>
            </w:rPr>
          </w:pPr>
        </w:p>
      </w:tc>
      <w:tc>
        <w:tcPr>
          <w:tcW w:w="5245" w:type="dxa"/>
          <w:shd w:val="clear" w:color="auto" w:fill="282878"/>
        </w:tcPr>
        <w:p w:rsidRPr="00662DF8" w:rsidR="00DF61A6" w:rsidP="00662DF8" w:rsidRDefault="00DF61A6" w14:paraId="5165899C" w14:textId="77777777">
          <w:pPr>
            <w:pStyle w:val="Footer"/>
            <w:rPr>
              <w:sz w:val="4"/>
              <w:szCs w:val="4"/>
            </w:rPr>
          </w:pPr>
        </w:p>
      </w:tc>
      <w:tc>
        <w:tcPr>
          <w:tcW w:w="3261" w:type="dxa"/>
          <w:shd w:val="clear" w:color="auto" w:fill="282878"/>
        </w:tcPr>
        <w:p w:rsidRPr="00662DF8" w:rsidR="00DF61A6" w:rsidP="00662DF8" w:rsidRDefault="00DF61A6" w14:paraId="3F5D043B" w14:textId="77777777">
          <w:pPr>
            <w:pStyle w:val="Footer"/>
            <w:rPr>
              <w:sz w:val="4"/>
              <w:szCs w:val="4"/>
            </w:rPr>
          </w:pPr>
        </w:p>
      </w:tc>
      <w:tc>
        <w:tcPr>
          <w:tcW w:w="2835" w:type="dxa"/>
          <w:shd w:val="clear" w:color="auto" w:fill="282878"/>
        </w:tcPr>
        <w:p w:rsidRPr="00662DF8" w:rsidR="00DF61A6" w:rsidP="00662DF8" w:rsidRDefault="00DF61A6" w14:paraId="6E782E1D" w14:textId="77777777">
          <w:pPr>
            <w:pStyle w:val="Footer"/>
            <w:rPr>
              <w:sz w:val="4"/>
              <w:szCs w:val="4"/>
            </w:rPr>
          </w:pPr>
        </w:p>
      </w:tc>
    </w:tr>
  </w:tbl>
  <w:p w:rsidRPr="00636173" w:rsidR="00DF61A6" w:rsidP="00DF61A6" w:rsidRDefault="00DF61A6" w14:paraId="475D4DEF" w14:textId="77777777">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776" w:rsidP="00FB05A8" w:rsidRDefault="00482776" w14:paraId="07ACC28D" w14:textId="77777777">
      <w:r>
        <w:separator/>
      </w:r>
    </w:p>
  </w:footnote>
  <w:footnote w:type="continuationSeparator" w:id="0">
    <w:p w:rsidR="00482776" w:rsidP="00FB05A8" w:rsidRDefault="00482776" w14:paraId="4B691EF7"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tbl>
    <w:tblPr>
      <w:tblW w:w="0" w:type="auto"/>
      <w:tblBorders>
        <w:bottom w:val="single" w:color="D7D3CF" w:sz="4" w:space="0"/>
        <w:insideH w:val="single" w:color="auto" w:sz="4" w:space="0"/>
        <w:insideV w:val="single" w:color="auto" w:sz="4" w:space="0"/>
      </w:tblBorders>
      <w:tblLook w:val="04A0" w:firstRow="1" w:lastRow="0" w:firstColumn="1" w:lastColumn="0" w:noHBand="0" w:noVBand="1"/>
    </w:tblPr>
    <w:tblGrid>
      <w:gridCol w:w="10682"/>
    </w:tblGrid>
    <w:tr w:rsidRPr="00FB05A8" w:rsidR="00DF61A6" w:rsidTr="1577E0C5" w14:paraId="7A5C80CE" w14:textId="77777777">
      <w:tc>
        <w:tcPr>
          <w:tcW w:w="10682" w:type="dxa"/>
          <w:shd w:val="clear" w:color="auto" w:fill="auto"/>
          <w:tcMar/>
        </w:tcPr>
        <w:p w:rsidRPr="00FB05A8" w:rsidR="00DF61A6" w:rsidP="00662DF8" w:rsidRDefault="00A671B3" w14:paraId="060B4B82" w14:textId="77777777">
          <w:pPr>
            <w:pStyle w:val="Header"/>
            <w:spacing w:after="425"/>
            <w:jc w:val="center"/>
            <w:rPr>
              <w:rFonts w:ascii="Calibri" w:hAnsi="Calibri"/>
            </w:rPr>
          </w:pPr>
          <w:r w:rsidR="1577E0C5">
            <w:drawing>
              <wp:inline wp14:editId="678A8E0C" wp14:anchorId="58ACB5C5">
                <wp:extent cx="2524760" cy="429895"/>
                <wp:effectExtent l="0" t="0" r="8890" b="8255"/>
                <wp:docPr id="3" name="Picture 1" title=""/>
                <wp:cNvGraphicFramePr>
                  <a:graphicFrameLocks noChangeAspect="1"/>
                </wp:cNvGraphicFramePr>
                <a:graphic>
                  <a:graphicData uri="http://schemas.openxmlformats.org/drawingml/2006/picture">
                    <pic:pic>
                      <pic:nvPicPr>
                        <pic:cNvPr id="0" name="Picture 1"/>
                        <pic:cNvPicPr/>
                      </pic:nvPicPr>
                      <pic:blipFill>
                        <a:blip r:embed="R169c6260368544b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524760" cy="429895"/>
                        </a:xfrm>
                        <a:prstGeom prst="rect">
                          <a:avLst/>
                        </a:prstGeom>
                      </pic:spPr>
                    </pic:pic>
                  </a:graphicData>
                </a:graphic>
              </wp:inline>
            </w:drawing>
          </w:r>
        </w:p>
      </w:tc>
    </w:tr>
  </w:tbl>
  <w:p w:rsidRPr="00D16FC4" w:rsidR="00DF61A6" w:rsidP="00DF61A6" w:rsidRDefault="00DF61A6" w14:paraId="49C66316" w14:textId="77777777">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E29C8"/>
    <w:multiLevelType w:val="hybridMultilevel"/>
    <w:tmpl w:val="33861204"/>
    <w:lvl w:ilvl="0" w:tplc="7C08C7C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35F774A4"/>
    <w:multiLevelType w:val="hybridMultilevel"/>
    <w:tmpl w:val="2BA81730"/>
    <w:lvl w:ilvl="0" w:tplc="B824ABF4">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F107CE4"/>
    <w:multiLevelType w:val="hybridMultilevel"/>
    <w:tmpl w:val="5148A79C"/>
    <w:lvl w:ilvl="0" w:tplc="B824ABF4">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1B3"/>
    <w:rsid w:val="00082418"/>
    <w:rsid w:val="00086063"/>
    <w:rsid w:val="000C2C07"/>
    <w:rsid w:val="000F3DC8"/>
    <w:rsid w:val="00163C68"/>
    <w:rsid w:val="00194CCC"/>
    <w:rsid w:val="001A5B65"/>
    <w:rsid w:val="001D1044"/>
    <w:rsid w:val="001F0658"/>
    <w:rsid w:val="0023642B"/>
    <w:rsid w:val="0030685C"/>
    <w:rsid w:val="00310599"/>
    <w:rsid w:val="00350EF3"/>
    <w:rsid w:val="003B6F48"/>
    <w:rsid w:val="003F12AC"/>
    <w:rsid w:val="00403882"/>
    <w:rsid w:val="00405B5A"/>
    <w:rsid w:val="004369D1"/>
    <w:rsid w:val="00436F0C"/>
    <w:rsid w:val="00482776"/>
    <w:rsid w:val="00591DA2"/>
    <w:rsid w:val="005B32C2"/>
    <w:rsid w:val="005C0FB3"/>
    <w:rsid w:val="005C1879"/>
    <w:rsid w:val="005D304A"/>
    <w:rsid w:val="005E776E"/>
    <w:rsid w:val="00622A10"/>
    <w:rsid w:val="0063433F"/>
    <w:rsid w:val="00636173"/>
    <w:rsid w:val="00662DF8"/>
    <w:rsid w:val="00675492"/>
    <w:rsid w:val="00695ADA"/>
    <w:rsid w:val="006D1E1D"/>
    <w:rsid w:val="006F5CD6"/>
    <w:rsid w:val="00704099"/>
    <w:rsid w:val="00740620"/>
    <w:rsid w:val="007E3C5A"/>
    <w:rsid w:val="00830FF3"/>
    <w:rsid w:val="008B0B35"/>
    <w:rsid w:val="00942029"/>
    <w:rsid w:val="00997D94"/>
    <w:rsid w:val="009A3023"/>
    <w:rsid w:val="009B216A"/>
    <w:rsid w:val="009E18F5"/>
    <w:rsid w:val="009F49D0"/>
    <w:rsid w:val="00A07C08"/>
    <w:rsid w:val="00A12880"/>
    <w:rsid w:val="00A52645"/>
    <w:rsid w:val="00A671B3"/>
    <w:rsid w:val="00AF58FF"/>
    <w:rsid w:val="00B241D0"/>
    <w:rsid w:val="00B24D0C"/>
    <w:rsid w:val="00B52F1D"/>
    <w:rsid w:val="00B63137"/>
    <w:rsid w:val="00BA2A11"/>
    <w:rsid w:val="00BE6580"/>
    <w:rsid w:val="00BF01B3"/>
    <w:rsid w:val="00C046D4"/>
    <w:rsid w:val="00C57092"/>
    <w:rsid w:val="00CE2E35"/>
    <w:rsid w:val="00D06F19"/>
    <w:rsid w:val="00D16FC4"/>
    <w:rsid w:val="00D24386"/>
    <w:rsid w:val="00D37E3B"/>
    <w:rsid w:val="00DE5920"/>
    <w:rsid w:val="00DF61A6"/>
    <w:rsid w:val="00E10AAB"/>
    <w:rsid w:val="00E21636"/>
    <w:rsid w:val="00E5367D"/>
    <w:rsid w:val="00EA0BD1"/>
    <w:rsid w:val="00EF0520"/>
    <w:rsid w:val="00F67E01"/>
    <w:rsid w:val="00FA224E"/>
    <w:rsid w:val="00FA4AB6"/>
    <w:rsid w:val="00FB05A8"/>
    <w:rsid w:val="0B83EAEE"/>
    <w:rsid w:val="1577E0C5"/>
    <w:rsid w:val="17C0718C"/>
    <w:rsid w:val="1AF8124E"/>
    <w:rsid w:val="3517AEE2"/>
    <w:rsid w:val="3B04F1CD"/>
    <w:rsid w:val="4289ED03"/>
    <w:rsid w:val="453430B8"/>
    <w:rsid w:val="4B9A33F9"/>
    <w:rsid w:val="4EF7B62E"/>
    <w:rsid w:val="52DA7550"/>
    <w:rsid w:val="5387CE80"/>
    <w:rsid w:val="551BDAA0"/>
    <w:rsid w:val="5909DAAE"/>
    <w:rsid w:val="63F08DB4"/>
    <w:rsid w:val="65B73088"/>
    <w:rsid w:val="675300E9"/>
    <w:rsid w:val="76099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5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lang w:val="en-GB" w:eastAsia="en-GB"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rsid w:val="003B6F48"/>
    <w:rPr>
      <w:rFonts w:ascii="Arial" w:hAnsi="Arial" w:eastAsia="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styleId="HeaderChar" w:customStyle="1">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styleId="FooterChar" w:customStyle="1">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styleId="BalloonTextChar" w:customStyle="1">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rPr>
        <w:rFonts w:ascii="Arial" w:hAnsi="Arial"/>
        <w:b/>
        <w:i w:val="0"/>
        <w:color w:val="393839"/>
        <w:sz w:val="18"/>
      </w:rPr>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D7D3CF"/>
      </w:tcPr>
    </w:tblStylePr>
    <w:tblStylePr w:type="band2Horz">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F2EFEE"/>
      </w:tcPr>
    </w:tblStylePr>
  </w:style>
  <w:style w:type="character" w:styleId="Heading1Char" w:customStyle="1">
    <w:name w:val="Heading 1 Char"/>
    <w:link w:val="Heading1"/>
    <w:uiPriority w:val="9"/>
    <w:rsid w:val="00636173"/>
    <w:rPr>
      <w:rFonts w:ascii="Arial" w:hAnsi="Arial" w:eastAsia="Times New Roman" w:cs="Times New Roman"/>
      <w:b/>
      <w:bCs/>
      <w:color w:val="282878"/>
      <w:kern w:val="32"/>
      <w:sz w:val="32"/>
      <w:szCs w:val="32"/>
      <w:lang w:eastAsia="en-US"/>
    </w:rPr>
  </w:style>
  <w:style w:type="character" w:styleId="Heading2Char" w:customStyle="1">
    <w:name w:val="Heading 2 Char"/>
    <w:link w:val="Heading2"/>
    <w:uiPriority w:val="9"/>
    <w:rsid w:val="005E776E"/>
    <w:rPr>
      <w:rFonts w:ascii="Arial" w:hAnsi="Arial" w:eastAsia="Times New Roman"/>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styleId="TitleChar" w:customStyle="1">
    <w:name w:val="Title Char"/>
    <w:link w:val="Title"/>
    <w:uiPriority w:val="10"/>
    <w:rsid w:val="00636173"/>
    <w:rPr>
      <w:rFonts w:ascii="Arial" w:hAnsi="Arial" w:eastAsia="Times New Roman"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styleId="SubtitleChar" w:customStyle="1">
    <w:name w:val="Subtitle Char"/>
    <w:link w:val="Subtitle"/>
    <w:uiPriority w:val="11"/>
    <w:rsid w:val="00636173"/>
    <w:rPr>
      <w:rFonts w:ascii="Arial" w:hAnsi="Arial" w:eastAsia="Times New Roman" w:cs="Times New Roman"/>
      <w:b/>
      <w:bCs/>
      <w:iCs/>
      <w:color w:val="ED3839"/>
      <w:sz w:val="32"/>
      <w:szCs w:val="28"/>
      <w:lang w:eastAsia="en-US"/>
    </w:rPr>
  </w:style>
  <w:style w:type="character" w:styleId="Heading3Char" w:customStyle="1">
    <w:name w:val="Heading 3 Char"/>
    <w:link w:val="Heading3"/>
    <w:uiPriority w:val="9"/>
    <w:rsid w:val="00636173"/>
    <w:rPr>
      <w:rFonts w:ascii="Arial" w:hAnsi="Arial" w:eastAsia="Times New Roman" w:cs="Times New Roman"/>
      <w:b/>
      <w:bCs/>
      <w:color w:val="393839"/>
      <w:sz w:val="26"/>
      <w:szCs w:val="26"/>
      <w:lang w:eastAsia="en-US"/>
    </w:rPr>
  </w:style>
  <w:style w:type="table" w:styleId="Kaplantable-colour" w:customStyle="1">
    <w:name w:val="Kaplan table - colour"/>
    <w:basedOn w:val="TableNormal"/>
    <w:uiPriority w:val="99"/>
    <w:rsid w:val="0030685C"/>
    <w:rPr>
      <w:rFonts w:ascii="Arial" w:hAnsi="Arial"/>
      <w:color w:val="393839"/>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Bulletpoint" w:customStyle="1">
    <w:name w:val="Bullet point"/>
    <w:basedOn w:val="Normal"/>
    <w:link w:val="BulletpointChar"/>
    <w:autoRedefine/>
    <w:qFormat/>
    <w:rsid w:val="00695ADA"/>
    <w:rPr>
      <w:b/>
      <w:sz w:val="24"/>
      <w:szCs w:val="24"/>
    </w:rPr>
  </w:style>
  <w:style w:type="paragraph" w:styleId="NoSpacing">
    <w:name w:val="No Spacing"/>
    <w:autoRedefine/>
    <w:uiPriority w:val="1"/>
    <w:qFormat/>
    <w:rsid w:val="005B32C2"/>
    <w:pPr>
      <w:spacing w:line="360" w:lineRule="auto"/>
    </w:pPr>
    <w:rPr>
      <w:rFonts w:ascii="Arial" w:hAnsi="Arial" w:cs="Arial"/>
      <w:color w:val="393839"/>
      <w:sz w:val="24"/>
      <w:szCs w:val="24"/>
      <w:lang w:eastAsia="en-US"/>
    </w:rPr>
  </w:style>
  <w:style w:type="character" w:styleId="BulletpointChar" w:customStyle="1">
    <w:name w:val="Bullet point Char"/>
    <w:link w:val="Bulletpoint"/>
    <w:rsid w:val="00695ADA"/>
    <w:rPr>
      <w:rFonts w:ascii="Arial" w:hAnsi="Arial" w:eastAsia="Arial" w:cs="Arial"/>
      <w:b/>
      <w:color w:val="000000"/>
      <w:sz w:val="24"/>
      <w:szCs w:val="24"/>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hAnsi="Calibri" w:eastAsia="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styleId="CommentTextChar" w:customStyle="1">
    <w:name w:val="Comment Text Char"/>
    <w:basedOn w:val="DefaultParagraphFont"/>
    <w:link w:val="CommentText"/>
    <w:uiPriority w:val="99"/>
    <w:semiHidden/>
    <w:rsid w:val="00350EF3"/>
    <w:rPr>
      <w:rFonts w:ascii="Arial" w:hAnsi="Arial" w:eastAsia="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styleId="CommentSubjectChar" w:customStyle="1">
    <w:name w:val="Comment Subject Char"/>
    <w:basedOn w:val="CommentTextChar"/>
    <w:link w:val="CommentSubject"/>
    <w:uiPriority w:val="99"/>
    <w:semiHidden/>
    <w:rsid w:val="00350EF3"/>
    <w:rPr>
      <w:rFonts w:ascii="Arial" w:hAnsi="Arial" w:eastAsia="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styleId="Heading4Char" w:customStyle="1">
    <w:name w:val="Heading 4 Char"/>
    <w:basedOn w:val="DefaultParagraphFont"/>
    <w:link w:val="Heading4"/>
    <w:uiPriority w:val="9"/>
    <w:rsid w:val="003B6F48"/>
    <w:rPr>
      <w:rFonts w:asciiTheme="majorHAnsi" w:hAnsiTheme="majorHAnsi" w:eastAsiaTheme="majorEastAsia" w:cstheme="majorBidi"/>
      <w:i/>
      <w:iCs/>
      <w:color w:val="365F91" w:themeColor="accent1" w:themeShade="BF"/>
      <w:sz w:val="18"/>
      <w:szCs w:val="18"/>
      <w:lang w:val="en-US" w:eastAsia="en-US"/>
    </w:rPr>
  </w:style>
  <w:style w:type="character" w:styleId="Hyperlink">
    <w:name w:val="Hyperlink"/>
    <w:basedOn w:val="DefaultParagraphFont"/>
    <w:uiPriority w:val="99"/>
    <w:semiHidden/>
    <w:unhideWhenUsed/>
    <w:rsid w:val="00BA2A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695ADA"/>
    <w:rPr>
      <w:b/>
      <w:sz w:val="24"/>
      <w:szCs w:val="24"/>
    </w:rPr>
  </w:style>
  <w:style w:type="paragraph" w:styleId="NoSpacing">
    <w:name w:val="No Spacing"/>
    <w:autoRedefine/>
    <w:uiPriority w:val="1"/>
    <w:qFormat/>
    <w:rsid w:val="005B32C2"/>
    <w:pPr>
      <w:spacing w:line="360" w:lineRule="auto"/>
    </w:pPr>
    <w:rPr>
      <w:rFonts w:ascii="Arial" w:hAnsi="Arial" w:cs="Arial"/>
      <w:color w:val="393839"/>
      <w:sz w:val="24"/>
      <w:szCs w:val="24"/>
      <w:lang w:eastAsia="en-US"/>
    </w:rPr>
  </w:style>
  <w:style w:type="character" w:customStyle="1" w:styleId="BulletpointChar">
    <w:name w:val="Bullet point Char"/>
    <w:link w:val="Bulletpoint"/>
    <w:rsid w:val="00695ADA"/>
    <w:rPr>
      <w:rFonts w:ascii="Arial" w:eastAsia="Arial" w:hAnsi="Arial" w:cs="Arial"/>
      <w:b/>
      <w:color w:val="000000"/>
      <w:sz w:val="24"/>
      <w:szCs w:val="24"/>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 w:type="character" w:styleId="Hyperlink">
    <w:name w:val="Hyperlink"/>
    <w:basedOn w:val="DefaultParagraphFont"/>
    <w:uiPriority w:val="99"/>
    <w:semiHidden/>
    <w:unhideWhenUsed/>
    <w:rsid w:val="00BA2A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yperlink" Target="http://www.textworks4u.de/wp-content/uploads/LiteratureReview/Literature_Review_Writing.html"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&#65279;<?xml version="1.0" encoding="utf-8"?><Relationships xmlns="http://schemas.openxmlformats.org/package/2006/relationships"><Relationship Type="http://schemas.openxmlformats.org/officeDocument/2006/relationships/image" Target="/media/image2.png" Id="R169c6260368544b6"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4B615A75EE45639F0615A4AF2AF04F"/>
        <w:category>
          <w:name w:val="General"/>
          <w:gallery w:val="placeholder"/>
        </w:category>
        <w:types>
          <w:type w:val="bbPlcHdr"/>
        </w:types>
        <w:behaviors>
          <w:behavior w:val="content"/>
        </w:behaviors>
        <w:guid w:val="{041DEE83-9EAD-4F81-A65A-F34A70D95F7B}"/>
      </w:docPartPr>
      <w:docPartBody>
        <w:p w14:paraId="3F67003E" w14:textId="77777777" w:rsidR="00C046D4" w:rsidRDefault="00C57092" w:rsidP="00C57092">
          <w:pPr>
            <w:pStyle w:val="314B615A75EE45639F0615A4AF2AF04F2"/>
          </w:pPr>
          <w:r w:rsidRPr="0068725C">
            <w:rPr>
              <w:rStyle w:val="PlaceholderText"/>
            </w:rPr>
            <w:t>Choose an item.</w:t>
          </w:r>
        </w:p>
      </w:docPartBody>
    </w:docPart>
    <w:docPart>
      <w:docPartPr>
        <w:name w:val="7ED63CDEE2A442F680B56635A0FD32B8"/>
        <w:category>
          <w:name w:val="General"/>
          <w:gallery w:val="placeholder"/>
        </w:category>
        <w:types>
          <w:type w:val="bbPlcHdr"/>
        </w:types>
        <w:behaviors>
          <w:behavior w:val="content"/>
        </w:behaviors>
        <w:guid w:val="{72AF6B55-126B-4A46-ACBE-1E1EEF3F4E3C}"/>
      </w:docPartPr>
      <w:docPartBody>
        <w:p w14:paraId="3F67003F" w14:textId="77777777" w:rsidR="00C046D4" w:rsidRDefault="00C57092" w:rsidP="00C57092">
          <w:pPr>
            <w:pStyle w:val="7ED63CDEE2A442F680B56635A0FD32B82"/>
          </w:pPr>
          <w:r w:rsidRPr="0068725C">
            <w:rPr>
              <w:rStyle w:val="PlaceholderText"/>
            </w:rPr>
            <w:t>Choose an item.</w:t>
          </w:r>
        </w:p>
      </w:docPartBody>
    </w:docPart>
    <w:docPart>
      <w:docPartPr>
        <w:name w:val="118FD174E97940F6AD517238D94466C5"/>
        <w:category>
          <w:name w:val="General"/>
          <w:gallery w:val="placeholder"/>
        </w:category>
        <w:types>
          <w:type w:val="bbPlcHdr"/>
        </w:types>
        <w:behaviors>
          <w:behavior w:val="content"/>
        </w:behaviors>
        <w:guid w:val="{E66A158E-278B-4EEA-8B46-3A76104E55AF}"/>
      </w:docPartPr>
      <w:docPartBody>
        <w:p w14:paraId="3F670040" w14:textId="77777777" w:rsidR="00C046D4" w:rsidRDefault="00C57092" w:rsidP="00C57092">
          <w:pPr>
            <w:pStyle w:val="118FD174E97940F6AD517238D94466C52"/>
          </w:pPr>
          <w:r w:rsidRPr="0068725C">
            <w:rPr>
              <w:rStyle w:val="PlaceholderText"/>
            </w:rPr>
            <w:t>Choose an item.</w:t>
          </w:r>
        </w:p>
      </w:docPartBody>
    </w:docPart>
    <w:docPart>
      <w:docPartPr>
        <w:name w:val="81F005CAAE7D4D089F8B6E92590034EA"/>
        <w:category>
          <w:name w:val="General"/>
          <w:gallery w:val="placeholder"/>
        </w:category>
        <w:types>
          <w:type w:val="bbPlcHdr"/>
        </w:types>
        <w:behaviors>
          <w:behavior w:val="content"/>
        </w:behaviors>
        <w:guid w:val="{8135C527-FB96-45CA-8370-C3D247CBEC9D}"/>
      </w:docPartPr>
      <w:docPartBody>
        <w:p w14:paraId="3F670041" w14:textId="77777777" w:rsidR="00C046D4" w:rsidRDefault="00C57092" w:rsidP="00C57092">
          <w:pPr>
            <w:pStyle w:val="81F005CAAE7D4D089F8B6E92590034EA2"/>
          </w:pPr>
          <w:r w:rsidRPr="0068725C">
            <w:rPr>
              <w:rStyle w:val="PlaceholderText"/>
            </w:rPr>
            <w:t>Choose an item.</w:t>
          </w:r>
        </w:p>
      </w:docPartBody>
    </w:docPart>
    <w:docPart>
      <w:docPartPr>
        <w:name w:val="FFF4E259BD74434BBD26D686681CCC7E"/>
        <w:category>
          <w:name w:val="General"/>
          <w:gallery w:val="placeholder"/>
        </w:category>
        <w:types>
          <w:type w:val="bbPlcHdr"/>
        </w:types>
        <w:behaviors>
          <w:behavior w:val="content"/>
        </w:behaviors>
        <w:guid w:val="{C603ED55-EEB9-4738-BC58-0FD41D051CC7}"/>
      </w:docPartPr>
      <w:docPartBody>
        <w:p w14:paraId="3F670042" w14:textId="77777777" w:rsidR="00C47D71" w:rsidRDefault="00C046D4" w:rsidP="00C046D4">
          <w:pPr>
            <w:pStyle w:val="FFF4E259BD74434BBD26D686681CCC7E"/>
          </w:pPr>
          <w:r w:rsidRPr="0068725C">
            <w:rPr>
              <w:rStyle w:val="PlaceholderText"/>
            </w:rPr>
            <w:t>Choose an item.</w:t>
          </w:r>
        </w:p>
      </w:docPartBody>
    </w:docPart>
    <w:docPart>
      <w:docPartPr>
        <w:name w:val="CB02C16CD0C6458A98EFC1EE53F4C6B9"/>
        <w:category>
          <w:name w:val="General"/>
          <w:gallery w:val="placeholder"/>
        </w:category>
        <w:types>
          <w:type w:val="bbPlcHdr"/>
        </w:types>
        <w:behaviors>
          <w:behavior w:val="content"/>
        </w:behaviors>
        <w:guid w:val="{5D1891FC-E037-46B6-B8DF-7815D9AAA579}"/>
      </w:docPartPr>
      <w:docPartBody>
        <w:p w14:paraId="3F670043" w14:textId="77777777" w:rsidR="00C47D71" w:rsidRDefault="00C046D4" w:rsidP="00C046D4">
          <w:pPr>
            <w:pStyle w:val="CB02C16CD0C6458A98EFC1EE53F4C6B9"/>
          </w:pPr>
          <w:r w:rsidRPr="00687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Grande">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092"/>
    <w:rsid w:val="00120206"/>
    <w:rsid w:val="003F69D5"/>
    <w:rsid w:val="004E6529"/>
    <w:rsid w:val="00705C8F"/>
    <w:rsid w:val="00C046D4"/>
    <w:rsid w:val="00C47D71"/>
    <w:rsid w:val="00C57092"/>
    <w:rsid w:val="00CE65A8"/>
    <w:rsid w:val="00F4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67003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21e0d3-4c4f-4c2d-8e05-8e69abd44bcf" xsi:nil="true"/>
    <lcf76f155ced4ddcb4097134ff3c332f xmlns="d49a9944-3df9-451f-8e33-1f7bf056dc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8BB18F4248E440903DB335DF4367D8" ma:contentTypeVersion="12" ma:contentTypeDescription="Create a new document." ma:contentTypeScope="" ma:versionID="d2f8fb47d3c33c4db583dd8d809ff639">
  <xsd:schema xmlns:xsd="http://www.w3.org/2001/XMLSchema" xmlns:xs="http://www.w3.org/2001/XMLSchema" xmlns:p="http://schemas.microsoft.com/office/2006/metadata/properties" xmlns:ns2="d49a9944-3df9-451f-8e33-1f7bf056dc00" xmlns:ns3="0521e0d3-4c4f-4c2d-8e05-8e69abd44bcf" targetNamespace="http://schemas.microsoft.com/office/2006/metadata/properties" ma:root="true" ma:fieldsID="7f18a02f698ea1dc96f8c204ab30f625" ns2:_="" ns3:_="">
    <xsd:import namespace="d49a9944-3df9-451f-8e33-1f7bf056dc00"/>
    <xsd:import namespace="0521e0d3-4c4f-4c2d-8e05-8e69abd44b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9944-3df9-451f-8e33-1f7bf056d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21e0d3-4c4f-4c2d-8e05-8e69abd44b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8e63ac-c649-4808-85db-499e66ea2519}" ma:internalName="TaxCatchAll" ma:showField="CatchAllData" ma:web="0521e0d3-4c4f-4c2d-8e05-8e69abd44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7CCDE-752E-42A9-B9C7-45538AE83261}">
  <ds:schemaRefs>
    <ds:schemaRef ds:uri="http://purl.org/dc/terms/"/>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94eef652-f3d4-403f-bb68-6f2321bcd15d"/>
    <ds:schemaRef ds:uri="2a0aa29f-5b2e-4f26-9683-d6d4ab7460cf"/>
    <ds:schemaRef ds:uri="http://schemas.microsoft.com/office/2006/metadata/properties"/>
  </ds:schemaRefs>
</ds:datastoreItem>
</file>

<file path=customXml/itemProps2.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3.xml><?xml version="1.0" encoding="utf-8"?>
<ds:datastoreItem xmlns:ds="http://schemas.openxmlformats.org/officeDocument/2006/customXml" ds:itemID="{AF1CD7B1-6098-4F9E-9C8E-078DD52B1A8C}"/>
</file>

<file path=customXml/itemProps4.xml><?xml version="1.0" encoding="utf-8"?>
<ds:datastoreItem xmlns:ds="http://schemas.openxmlformats.org/officeDocument/2006/customXml" ds:itemID="{6C1509E6-9D94-456B-A382-4DA55B89846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Kaplan-Pathways-Template-Portrait</ap:Template>
  <ap:Application>Microsoft Word for the web</ap:Application>
  <ap:DocSecurity>0</ap:DocSecurity>
  <ap:ScaleCrop>false</ap:ScaleCrop>
  <ap:Company>Kaplan International Colleges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Nina Enemark</cp:lastModifiedBy>
  <cp:revision>16</cp:revision>
  <dcterms:created xsi:type="dcterms:W3CDTF">2019-06-05T14:01:00Z</dcterms:created>
  <dcterms:modified xsi:type="dcterms:W3CDTF">2022-10-31T10:49:03Z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0x010100F18BB18F4248E440903DB335DF4367D8</vt:lpwstr>
  </property>
  <property fmtid="{D5CDD505-2E9C-101B-9397-08002B2CF9AE}" pid="3" name="MediaServiceImageTags">
    <vt:lpwstr/>
  </property>
</Properties>
</file>